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5E3" w:rsidRDefault="001515E3" w:rsidP="00C97284">
      <w:pPr>
        <w:pStyle w:val="Title"/>
        <w:jc w:val="center"/>
      </w:pPr>
      <w:r>
        <w:t xml:space="preserve">Vineyard Financial Associates </w:t>
      </w:r>
    </w:p>
    <w:p w:rsidR="00206DC2" w:rsidRDefault="00C97284" w:rsidP="00C97284">
      <w:pPr>
        <w:pStyle w:val="Title"/>
        <w:jc w:val="center"/>
      </w:pPr>
      <w:r>
        <w:t>Forecast for Washington Average Wine Grape Price, 2018-2020</w:t>
      </w:r>
    </w:p>
    <w:sdt>
      <w:sdtPr>
        <w:rPr>
          <w:rFonts w:asciiTheme="minorHAnsi" w:eastAsiaTheme="minorEastAsia" w:hAnsiTheme="minorHAnsi" w:cstheme="minorBidi"/>
          <w:b w:val="0"/>
          <w:bCs w:val="0"/>
          <w:smallCaps w:val="0"/>
          <w:color w:val="auto"/>
          <w:sz w:val="22"/>
          <w:szCs w:val="22"/>
        </w:rPr>
        <w:id w:val="139619158"/>
        <w:docPartObj>
          <w:docPartGallery w:val="Table of Contents"/>
          <w:docPartUnique/>
        </w:docPartObj>
      </w:sdtPr>
      <w:sdtEndPr>
        <w:rPr>
          <w:noProof/>
        </w:rPr>
      </w:sdtEndPr>
      <w:sdtContent>
        <w:p w:rsidR="00297101" w:rsidRDefault="00297101" w:rsidP="00297101">
          <w:pPr>
            <w:pStyle w:val="TOCHeading"/>
            <w:numPr>
              <w:ilvl w:val="0"/>
              <w:numId w:val="0"/>
            </w:numPr>
            <w:ind w:left="432" w:hanging="432"/>
          </w:pPr>
          <w:r>
            <w:t>Table of Contents</w:t>
          </w:r>
        </w:p>
        <w:p w:rsidR="00297101" w:rsidRDefault="00297101">
          <w:pPr>
            <w:pStyle w:val="TOC1"/>
            <w:tabs>
              <w:tab w:val="left" w:pos="440"/>
              <w:tab w:val="right" w:leader="dot" w:pos="10790"/>
            </w:tabs>
            <w:rPr>
              <w:noProof/>
            </w:rPr>
          </w:pPr>
          <w:r>
            <w:fldChar w:fldCharType="begin"/>
          </w:r>
          <w:r>
            <w:instrText xml:space="preserve"> TOC \o "1-3" \h \z \u </w:instrText>
          </w:r>
          <w:r>
            <w:fldChar w:fldCharType="separate"/>
          </w:r>
          <w:hyperlink w:anchor="_Toc520813339" w:history="1">
            <w:r w:rsidRPr="000E49DF">
              <w:rPr>
                <w:rStyle w:val="Hyperlink"/>
                <w:noProof/>
              </w:rPr>
              <w:t>1</w:t>
            </w:r>
            <w:r>
              <w:rPr>
                <w:noProof/>
              </w:rPr>
              <w:tab/>
            </w:r>
            <w:r w:rsidRPr="000E49DF">
              <w:rPr>
                <w:rStyle w:val="Hyperlink"/>
                <w:noProof/>
              </w:rPr>
              <w:t>Introduction</w:t>
            </w:r>
            <w:r>
              <w:rPr>
                <w:noProof/>
                <w:webHidden/>
              </w:rPr>
              <w:tab/>
            </w:r>
            <w:r>
              <w:rPr>
                <w:noProof/>
                <w:webHidden/>
              </w:rPr>
              <w:fldChar w:fldCharType="begin"/>
            </w:r>
            <w:r>
              <w:rPr>
                <w:noProof/>
                <w:webHidden/>
              </w:rPr>
              <w:instrText xml:space="preserve"> PAGEREF _Toc520813339 \h </w:instrText>
            </w:r>
            <w:r>
              <w:rPr>
                <w:noProof/>
                <w:webHidden/>
              </w:rPr>
            </w:r>
            <w:r>
              <w:rPr>
                <w:noProof/>
                <w:webHidden/>
              </w:rPr>
              <w:fldChar w:fldCharType="separate"/>
            </w:r>
            <w:r>
              <w:rPr>
                <w:noProof/>
                <w:webHidden/>
              </w:rPr>
              <w:t>1</w:t>
            </w:r>
            <w:r>
              <w:rPr>
                <w:noProof/>
                <w:webHidden/>
              </w:rPr>
              <w:fldChar w:fldCharType="end"/>
            </w:r>
          </w:hyperlink>
        </w:p>
        <w:p w:rsidR="00297101" w:rsidRDefault="00926F77">
          <w:pPr>
            <w:pStyle w:val="TOC1"/>
            <w:tabs>
              <w:tab w:val="left" w:pos="440"/>
              <w:tab w:val="right" w:leader="dot" w:pos="10790"/>
            </w:tabs>
            <w:rPr>
              <w:noProof/>
            </w:rPr>
          </w:pPr>
          <w:hyperlink w:anchor="_Toc520813340" w:history="1">
            <w:r w:rsidR="00297101" w:rsidRPr="000E49DF">
              <w:rPr>
                <w:rStyle w:val="Hyperlink"/>
                <w:noProof/>
              </w:rPr>
              <w:t>2</w:t>
            </w:r>
            <w:r w:rsidR="00297101">
              <w:rPr>
                <w:noProof/>
              </w:rPr>
              <w:tab/>
            </w:r>
            <w:r w:rsidR="00297101" w:rsidRPr="000E49DF">
              <w:rPr>
                <w:rStyle w:val="Hyperlink"/>
                <w:noProof/>
              </w:rPr>
              <w:t>Forecast (Nominal and Inflation-Adjusted)</w:t>
            </w:r>
            <w:r w:rsidR="00297101">
              <w:rPr>
                <w:noProof/>
                <w:webHidden/>
              </w:rPr>
              <w:tab/>
            </w:r>
            <w:r w:rsidR="00297101">
              <w:rPr>
                <w:noProof/>
                <w:webHidden/>
              </w:rPr>
              <w:fldChar w:fldCharType="begin"/>
            </w:r>
            <w:r w:rsidR="00297101">
              <w:rPr>
                <w:noProof/>
                <w:webHidden/>
              </w:rPr>
              <w:instrText xml:space="preserve"> PAGEREF _Toc520813340 \h </w:instrText>
            </w:r>
            <w:r w:rsidR="00297101">
              <w:rPr>
                <w:noProof/>
                <w:webHidden/>
              </w:rPr>
            </w:r>
            <w:r w:rsidR="00297101">
              <w:rPr>
                <w:noProof/>
                <w:webHidden/>
              </w:rPr>
              <w:fldChar w:fldCharType="separate"/>
            </w:r>
            <w:r w:rsidR="00297101">
              <w:rPr>
                <w:noProof/>
                <w:webHidden/>
              </w:rPr>
              <w:t>2</w:t>
            </w:r>
            <w:r w:rsidR="00297101">
              <w:rPr>
                <w:noProof/>
                <w:webHidden/>
              </w:rPr>
              <w:fldChar w:fldCharType="end"/>
            </w:r>
          </w:hyperlink>
        </w:p>
        <w:p w:rsidR="00297101" w:rsidRDefault="00926F77">
          <w:pPr>
            <w:pStyle w:val="TOC2"/>
            <w:tabs>
              <w:tab w:val="left" w:pos="880"/>
              <w:tab w:val="right" w:leader="dot" w:pos="10790"/>
            </w:tabs>
            <w:rPr>
              <w:noProof/>
            </w:rPr>
          </w:pPr>
          <w:hyperlink w:anchor="_Toc520813341" w:history="1">
            <w:r w:rsidR="00297101" w:rsidRPr="000E49DF">
              <w:rPr>
                <w:rStyle w:val="Hyperlink"/>
                <w:noProof/>
              </w:rPr>
              <w:t>2.1</w:t>
            </w:r>
            <w:r w:rsidR="00297101">
              <w:rPr>
                <w:noProof/>
              </w:rPr>
              <w:tab/>
            </w:r>
            <w:r w:rsidR="00297101" w:rsidRPr="000E49DF">
              <w:rPr>
                <w:rStyle w:val="Hyperlink"/>
                <w:noProof/>
              </w:rPr>
              <w:t>Charts and Tables</w:t>
            </w:r>
            <w:r w:rsidR="00297101">
              <w:rPr>
                <w:noProof/>
                <w:webHidden/>
              </w:rPr>
              <w:tab/>
            </w:r>
            <w:r w:rsidR="00297101">
              <w:rPr>
                <w:noProof/>
                <w:webHidden/>
              </w:rPr>
              <w:fldChar w:fldCharType="begin"/>
            </w:r>
            <w:r w:rsidR="00297101">
              <w:rPr>
                <w:noProof/>
                <w:webHidden/>
              </w:rPr>
              <w:instrText xml:space="preserve"> PAGEREF _Toc520813341 \h </w:instrText>
            </w:r>
            <w:r w:rsidR="00297101">
              <w:rPr>
                <w:noProof/>
                <w:webHidden/>
              </w:rPr>
            </w:r>
            <w:r w:rsidR="00297101">
              <w:rPr>
                <w:noProof/>
                <w:webHidden/>
              </w:rPr>
              <w:fldChar w:fldCharType="separate"/>
            </w:r>
            <w:r w:rsidR="00297101">
              <w:rPr>
                <w:noProof/>
                <w:webHidden/>
              </w:rPr>
              <w:t>2</w:t>
            </w:r>
            <w:r w:rsidR="00297101">
              <w:rPr>
                <w:noProof/>
                <w:webHidden/>
              </w:rPr>
              <w:fldChar w:fldCharType="end"/>
            </w:r>
          </w:hyperlink>
        </w:p>
        <w:p w:rsidR="00297101" w:rsidRDefault="00926F77">
          <w:pPr>
            <w:pStyle w:val="TOC2"/>
            <w:tabs>
              <w:tab w:val="left" w:pos="880"/>
              <w:tab w:val="right" w:leader="dot" w:pos="10790"/>
            </w:tabs>
            <w:rPr>
              <w:noProof/>
            </w:rPr>
          </w:pPr>
          <w:hyperlink w:anchor="_Toc520813342" w:history="1">
            <w:r w:rsidR="00297101" w:rsidRPr="000E49DF">
              <w:rPr>
                <w:rStyle w:val="Hyperlink"/>
                <w:noProof/>
              </w:rPr>
              <w:t>2.2</w:t>
            </w:r>
            <w:r w:rsidR="00297101">
              <w:rPr>
                <w:noProof/>
              </w:rPr>
              <w:tab/>
            </w:r>
            <w:r w:rsidR="00297101" w:rsidRPr="000E49DF">
              <w:rPr>
                <w:rStyle w:val="Hyperlink"/>
                <w:noProof/>
              </w:rPr>
              <w:t>Possible Bias</w:t>
            </w:r>
            <w:r w:rsidR="00297101">
              <w:rPr>
                <w:noProof/>
                <w:webHidden/>
              </w:rPr>
              <w:tab/>
            </w:r>
            <w:r w:rsidR="00297101">
              <w:rPr>
                <w:noProof/>
                <w:webHidden/>
              </w:rPr>
              <w:fldChar w:fldCharType="begin"/>
            </w:r>
            <w:r w:rsidR="00297101">
              <w:rPr>
                <w:noProof/>
                <w:webHidden/>
              </w:rPr>
              <w:instrText xml:space="preserve"> PAGEREF _Toc520813342 \h </w:instrText>
            </w:r>
            <w:r w:rsidR="00297101">
              <w:rPr>
                <w:noProof/>
                <w:webHidden/>
              </w:rPr>
            </w:r>
            <w:r w:rsidR="00297101">
              <w:rPr>
                <w:noProof/>
                <w:webHidden/>
              </w:rPr>
              <w:fldChar w:fldCharType="separate"/>
            </w:r>
            <w:r w:rsidR="00297101">
              <w:rPr>
                <w:noProof/>
                <w:webHidden/>
              </w:rPr>
              <w:t>4</w:t>
            </w:r>
            <w:r w:rsidR="00297101">
              <w:rPr>
                <w:noProof/>
                <w:webHidden/>
              </w:rPr>
              <w:fldChar w:fldCharType="end"/>
            </w:r>
          </w:hyperlink>
        </w:p>
        <w:p w:rsidR="00297101" w:rsidRDefault="00926F77">
          <w:pPr>
            <w:pStyle w:val="TOC2"/>
            <w:tabs>
              <w:tab w:val="left" w:pos="880"/>
              <w:tab w:val="right" w:leader="dot" w:pos="10790"/>
            </w:tabs>
            <w:rPr>
              <w:noProof/>
            </w:rPr>
          </w:pPr>
          <w:hyperlink w:anchor="_Toc520813343" w:history="1">
            <w:r w:rsidR="00297101" w:rsidRPr="000E49DF">
              <w:rPr>
                <w:rStyle w:val="Hyperlink"/>
                <w:noProof/>
              </w:rPr>
              <w:t>2.3</w:t>
            </w:r>
            <w:r w:rsidR="00297101">
              <w:rPr>
                <w:noProof/>
              </w:rPr>
              <w:tab/>
            </w:r>
            <w:r w:rsidR="00297101" w:rsidRPr="000E49DF">
              <w:rPr>
                <w:rStyle w:val="Hyperlink"/>
                <w:noProof/>
              </w:rPr>
              <w:t>Assumptions</w:t>
            </w:r>
            <w:r w:rsidR="00297101">
              <w:rPr>
                <w:noProof/>
                <w:webHidden/>
              </w:rPr>
              <w:tab/>
            </w:r>
            <w:r w:rsidR="00297101">
              <w:rPr>
                <w:noProof/>
                <w:webHidden/>
              </w:rPr>
              <w:fldChar w:fldCharType="begin"/>
            </w:r>
            <w:r w:rsidR="00297101">
              <w:rPr>
                <w:noProof/>
                <w:webHidden/>
              </w:rPr>
              <w:instrText xml:space="preserve"> PAGEREF _Toc520813343 \h </w:instrText>
            </w:r>
            <w:r w:rsidR="00297101">
              <w:rPr>
                <w:noProof/>
                <w:webHidden/>
              </w:rPr>
            </w:r>
            <w:r w:rsidR="00297101">
              <w:rPr>
                <w:noProof/>
                <w:webHidden/>
              </w:rPr>
              <w:fldChar w:fldCharType="separate"/>
            </w:r>
            <w:r w:rsidR="00297101">
              <w:rPr>
                <w:noProof/>
                <w:webHidden/>
              </w:rPr>
              <w:t>4</w:t>
            </w:r>
            <w:r w:rsidR="00297101">
              <w:rPr>
                <w:noProof/>
                <w:webHidden/>
              </w:rPr>
              <w:fldChar w:fldCharType="end"/>
            </w:r>
          </w:hyperlink>
        </w:p>
        <w:p w:rsidR="00297101" w:rsidRDefault="00926F77">
          <w:pPr>
            <w:pStyle w:val="TOC2"/>
            <w:tabs>
              <w:tab w:val="left" w:pos="880"/>
              <w:tab w:val="right" w:leader="dot" w:pos="10790"/>
            </w:tabs>
            <w:rPr>
              <w:noProof/>
            </w:rPr>
          </w:pPr>
          <w:hyperlink w:anchor="_Toc520813344" w:history="1">
            <w:r w:rsidR="00297101" w:rsidRPr="000E49DF">
              <w:rPr>
                <w:rStyle w:val="Hyperlink"/>
                <w:noProof/>
              </w:rPr>
              <w:t>2.4</w:t>
            </w:r>
            <w:r w:rsidR="00297101">
              <w:rPr>
                <w:noProof/>
              </w:rPr>
              <w:tab/>
            </w:r>
            <w:r w:rsidR="00297101" w:rsidRPr="000E49DF">
              <w:rPr>
                <w:rStyle w:val="Hyperlink"/>
                <w:noProof/>
              </w:rPr>
              <w:t>Rule-of-Thumb Adjustments of Assumptions</w:t>
            </w:r>
            <w:r w:rsidR="00297101">
              <w:rPr>
                <w:noProof/>
                <w:webHidden/>
              </w:rPr>
              <w:tab/>
            </w:r>
            <w:r w:rsidR="00297101">
              <w:rPr>
                <w:noProof/>
                <w:webHidden/>
              </w:rPr>
              <w:fldChar w:fldCharType="begin"/>
            </w:r>
            <w:r w:rsidR="00297101">
              <w:rPr>
                <w:noProof/>
                <w:webHidden/>
              </w:rPr>
              <w:instrText xml:space="preserve"> PAGEREF _Toc520813344 \h </w:instrText>
            </w:r>
            <w:r w:rsidR="00297101">
              <w:rPr>
                <w:noProof/>
                <w:webHidden/>
              </w:rPr>
            </w:r>
            <w:r w:rsidR="00297101">
              <w:rPr>
                <w:noProof/>
                <w:webHidden/>
              </w:rPr>
              <w:fldChar w:fldCharType="separate"/>
            </w:r>
            <w:r w:rsidR="00297101">
              <w:rPr>
                <w:noProof/>
                <w:webHidden/>
              </w:rPr>
              <w:t>5</w:t>
            </w:r>
            <w:r w:rsidR="00297101">
              <w:rPr>
                <w:noProof/>
                <w:webHidden/>
              </w:rPr>
              <w:fldChar w:fldCharType="end"/>
            </w:r>
          </w:hyperlink>
        </w:p>
        <w:p w:rsidR="00297101" w:rsidRDefault="00926F77">
          <w:pPr>
            <w:pStyle w:val="TOC2"/>
            <w:tabs>
              <w:tab w:val="left" w:pos="880"/>
              <w:tab w:val="right" w:leader="dot" w:pos="10790"/>
            </w:tabs>
            <w:rPr>
              <w:noProof/>
            </w:rPr>
          </w:pPr>
          <w:hyperlink w:anchor="_Toc520813345" w:history="1">
            <w:r w:rsidR="00297101" w:rsidRPr="000E49DF">
              <w:rPr>
                <w:rStyle w:val="Hyperlink"/>
                <w:noProof/>
              </w:rPr>
              <w:t>2.5</w:t>
            </w:r>
            <w:r w:rsidR="00297101">
              <w:rPr>
                <w:noProof/>
              </w:rPr>
              <w:tab/>
            </w:r>
            <w:r w:rsidR="00297101" w:rsidRPr="000E49DF">
              <w:rPr>
                <w:rStyle w:val="Hyperlink"/>
                <w:noProof/>
              </w:rPr>
              <w:t>Discussion of Probability Distribution</w:t>
            </w:r>
            <w:r w:rsidR="00297101">
              <w:rPr>
                <w:noProof/>
                <w:webHidden/>
              </w:rPr>
              <w:tab/>
            </w:r>
            <w:r w:rsidR="00297101">
              <w:rPr>
                <w:noProof/>
                <w:webHidden/>
              </w:rPr>
              <w:fldChar w:fldCharType="begin"/>
            </w:r>
            <w:r w:rsidR="00297101">
              <w:rPr>
                <w:noProof/>
                <w:webHidden/>
              </w:rPr>
              <w:instrText xml:space="preserve"> PAGEREF _Toc520813345 \h </w:instrText>
            </w:r>
            <w:r w:rsidR="00297101">
              <w:rPr>
                <w:noProof/>
                <w:webHidden/>
              </w:rPr>
            </w:r>
            <w:r w:rsidR="00297101">
              <w:rPr>
                <w:noProof/>
                <w:webHidden/>
              </w:rPr>
              <w:fldChar w:fldCharType="separate"/>
            </w:r>
            <w:r w:rsidR="00297101">
              <w:rPr>
                <w:noProof/>
                <w:webHidden/>
              </w:rPr>
              <w:t>5</w:t>
            </w:r>
            <w:r w:rsidR="00297101">
              <w:rPr>
                <w:noProof/>
                <w:webHidden/>
              </w:rPr>
              <w:fldChar w:fldCharType="end"/>
            </w:r>
          </w:hyperlink>
        </w:p>
        <w:p w:rsidR="00297101" w:rsidRDefault="00926F77">
          <w:pPr>
            <w:pStyle w:val="TOC2"/>
            <w:tabs>
              <w:tab w:val="left" w:pos="880"/>
              <w:tab w:val="right" w:leader="dot" w:pos="10790"/>
            </w:tabs>
            <w:rPr>
              <w:noProof/>
            </w:rPr>
          </w:pPr>
          <w:hyperlink w:anchor="_Toc520813346" w:history="1">
            <w:r w:rsidR="00297101" w:rsidRPr="000E49DF">
              <w:rPr>
                <w:rStyle w:val="Hyperlink"/>
                <w:noProof/>
              </w:rPr>
              <w:t>2.6</w:t>
            </w:r>
            <w:r w:rsidR="00297101">
              <w:rPr>
                <w:noProof/>
              </w:rPr>
              <w:tab/>
            </w:r>
            <w:r w:rsidR="00297101" w:rsidRPr="000E49DF">
              <w:rPr>
                <w:rStyle w:val="Hyperlink"/>
                <w:noProof/>
              </w:rPr>
              <w:t>Strength of Model and Caveats</w:t>
            </w:r>
            <w:r w:rsidR="00297101">
              <w:rPr>
                <w:noProof/>
                <w:webHidden/>
              </w:rPr>
              <w:tab/>
            </w:r>
            <w:r w:rsidR="00297101">
              <w:rPr>
                <w:noProof/>
                <w:webHidden/>
              </w:rPr>
              <w:fldChar w:fldCharType="begin"/>
            </w:r>
            <w:r w:rsidR="00297101">
              <w:rPr>
                <w:noProof/>
                <w:webHidden/>
              </w:rPr>
              <w:instrText xml:space="preserve"> PAGEREF _Toc520813346 \h </w:instrText>
            </w:r>
            <w:r w:rsidR="00297101">
              <w:rPr>
                <w:noProof/>
                <w:webHidden/>
              </w:rPr>
            </w:r>
            <w:r w:rsidR="00297101">
              <w:rPr>
                <w:noProof/>
                <w:webHidden/>
              </w:rPr>
              <w:fldChar w:fldCharType="separate"/>
            </w:r>
            <w:r w:rsidR="00297101">
              <w:rPr>
                <w:noProof/>
                <w:webHidden/>
              </w:rPr>
              <w:t>5</w:t>
            </w:r>
            <w:r w:rsidR="00297101">
              <w:rPr>
                <w:noProof/>
                <w:webHidden/>
              </w:rPr>
              <w:fldChar w:fldCharType="end"/>
            </w:r>
          </w:hyperlink>
        </w:p>
        <w:p w:rsidR="00297101" w:rsidRDefault="00926F77">
          <w:pPr>
            <w:pStyle w:val="TOC1"/>
            <w:tabs>
              <w:tab w:val="left" w:pos="440"/>
              <w:tab w:val="right" w:leader="dot" w:pos="10790"/>
            </w:tabs>
            <w:rPr>
              <w:noProof/>
            </w:rPr>
          </w:pPr>
          <w:hyperlink w:anchor="_Toc520813347" w:history="1">
            <w:r w:rsidR="00297101" w:rsidRPr="000E49DF">
              <w:rPr>
                <w:rStyle w:val="Hyperlink"/>
                <w:noProof/>
              </w:rPr>
              <w:t>3</w:t>
            </w:r>
            <w:r w:rsidR="00297101">
              <w:rPr>
                <w:noProof/>
              </w:rPr>
              <w:tab/>
            </w:r>
            <w:r w:rsidR="00297101" w:rsidRPr="000E49DF">
              <w:rPr>
                <w:rStyle w:val="Hyperlink"/>
                <w:noProof/>
              </w:rPr>
              <w:t>Discussion</w:t>
            </w:r>
            <w:r w:rsidR="00297101">
              <w:rPr>
                <w:noProof/>
                <w:webHidden/>
              </w:rPr>
              <w:tab/>
            </w:r>
            <w:r w:rsidR="00297101">
              <w:rPr>
                <w:noProof/>
                <w:webHidden/>
              </w:rPr>
              <w:fldChar w:fldCharType="begin"/>
            </w:r>
            <w:r w:rsidR="00297101">
              <w:rPr>
                <w:noProof/>
                <w:webHidden/>
              </w:rPr>
              <w:instrText xml:space="preserve"> PAGEREF _Toc520813347 \h </w:instrText>
            </w:r>
            <w:r w:rsidR="00297101">
              <w:rPr>
                <w:noProof/>
                <w:webHidden/>
              </w:rPr>
            </w:r>
            <w:r w:rsidR="00297101">
              <w:rPr>
                <w:noProof/>
                <w:webHidden/>
              </w:rPr>
              <w:fldChar w:fldCharType="separate"/>
            </w:r>
            <w:r w:rsidR="00297101">
              <w:rPr>
                <w:noProof/>
                <w:webHidden/>
              </w:rPr>
              <w:t>6</w:t>
            </w:r>
            <w:r w:rsidR="00297101">
              <w:rPr>
                <w:noProof/>
                <w:webHidden/>
              </w:rPr>
              <w:fldChar w:fldCharType="end"/>
            </w:r>
          </w:hyperlink>
        </w:p>
        <w:p w:rsidR="00297101" w:rsidRDefault="00926F77">
          <w:pPr>
            <w:pStyle w:val="TOC1"/>
            <w:tabs>
              <w:tab w:val="left" w:pos="440"/>
              <w:tab w:val="right" w:leader="dot" w:pos="10790"/>
            </w:tabs>
            <w:rPr>
              <w:noProof/>
            </w:rPr>
          </w:pPr>
          <w:hyperlink w:anchor="_Toc520813348" w:history="1">
            <w:r w:rsidR="00297101" w:rsidRPr="000E49DF">
              <w:rPr>
                <w:rStyle w:val="Hyperlink"/>
                <w:noProof/>
              </w:rPr>
              <w:t>4</w:t>
            </w:r>
            <w:r w:rsidR="00297101">
              <w:rPr>
                <w:noProof/>
              </w:rPr>
              <w:tab/>
            </w:r>
            <w:r w:rsidR="00297101" w:rsidRPr="000E49DF">
              <w:rPr>
                <w:rStyle w:val="Hyperlink"/>
                <w:noProof/>
              </w:rPr>
              <w:t>Component Models</w:t>
            </w:r>
            <w:r w:rsidR="00297101">
              <w:rPr>
                <w:noProof/>
                <w:webHidden/>
              </w:rPr>
              <w:tab/>
            </w:r>
            <w:r w:rsidR="00297101">
              <w:rPr>
                <w:noProof/>
                <w:webHidden/>
              </w:rPr>
              <w:fldChar w:fldCharType="begin"/>
            </w:r>
            <w:r w:rsidR="00297101">
              <w:rPr>
                <w:noProof/>
                <w:webHidden/>
              </w:rPr>
              <w:instrText xml:space="preserve"> PAGEREF _Toc520813348 \h </w:instrText>
            </w:r>
            <w:r w:rsidR="00297101">
              <w:rPr>
                <w:noProof/>
                <w:webHidden/>
              </w:rPr>
            </w:r>
            <w:r w:rsidR="00297101">
              <w:rPr>
                <w:noProof/>
                <w:webHidden/>
              </w:rPr>
              <w:fldChar w:fldCharType="separate"/>
            </w:r>
            <w:r w:rsidR="00297101">
              <w:rPr>
                <w:noProof/>
                <w:webHidden/>
              </w:rPr>
              <w:t>9</w:t>
            </w:r>
            <w:r w:rsidR="00297101">
              <w:rPr>
                <w:noProof/>
                <w:webHidden/>
              </w:rPr>
              <w:fldChar w:fldCharType="end"/>
            </w:r>
          </w:hyperlink>
        </w:p>
        <w:p w:rsidR="00297101" w:rsidRDefault="00926F77">
          <w:pPr>
            <w:pStyle w:val="TOC1"/>
            <w:tabs>
              <w:tab w:val="left" w:pos="440"/>
              <w:tab w:val="right" w:leader="dot" w:pos="10790"/>
            </w:tabs>
            <w:rPr>
              <w:noProof/>
            </w:rPr>
          </w:pPr>
          <w:hyperlink w:anchor="_Toc520813349" w:history="1">
            <w:r w:rsidR="00297101" w:rsidRPr="000E49DF">
              <w:rPr>
                <w:rStyle w:val="Hyperlink"/>
                <w:noProof/>
              </w:rPr>
              <w:t>5</w:t>
            </w:r>
            <w:r w:rsidR="00297101">
              <w:rPr>
                <w:noProof/>
              </w:rPr>
              <w:tab/>
            </w:r>
            <w:r w:rsidR="00297101" w:rsidRPr="000E49DF">
              <w:rPr>
                <w:rStyle w:val="Hyperlink"/>
                <w:noProof/>
              </w:rPr>
              <w:t>Benchmark Models</w:t>
            </w:r>
            <w:r w:rsidR="00297101">
              <w:rPr>
                <w:noProof/>
                <w:webHidden/>
              </w:rPr>
              <w:tab/>
            </w:r>
            <w:r w:rsidR="00297101">
              <w:rPr>
                <w:noProof/>
                <w:webHidden/>
              </w:rPr>
              <w:fldChar w:fldCharType="begin"/>
            </w:r>
            <w:r w:rsidR="00297101">
              <w:rPr>
                <w:noProof/>
                <w:webHidden/>
              </w:rPr>
              <w:instrText xml:space="preserve"> PAGEREF _Toc520813349 \h </w:instrText>
            </w:r>
            <w:r w:rsidR="00297101">
              <w:rPr>
                <w:noProof/>
                <w:webHidden/>
              </w:rPr>
            </w:r>
            <w:r w:rsidR="00297101">
              <w:rPr>
                <w:noProof/>
                <w:webHidden/>
              </w:rPr>
              <w:fldChar w:fldCharType="separate"/>
            </w:r>
            <w:r w:rsidR="00297101">
              <w:rPr>
                <w:noProof/>
                <w:webHidden/>
              </w:rPr>
              <w:t>9</w:t>
            </w:r>
            <w:r w:rsidR="00297101">
              <w:rPr>
                <w:noProof/>
                <w:webHidden/>
              </w:rPr>
              <w:fldChar w:fldCharType="end"/>
            </w:r>
          </w:hyperlink>
        </w:p>
        <w:p w:rsidR="00297101" w:rsidRDefault="00926F77">
          <w:pPr>
            <w:pStyle w:val="TOC1"/>
            <w:tabs>
              <w:tab w:val="right" w:leader="dot" w:pos="10790"/>
            </w:tabs>
            <w:rPr>
              <w:noProof/>
            </w:rPr>
          </w:pPr>
          <w:hyperlink w:anchor="_Toc520813350" w:history="1">
            <w:r w:rsidR="00297101" w:rsidRPr="000E49DF">
              <w:rPr>
                <w:rStyle w:val="Hyperlink"/>
                <w:noProof/>
              </w:rPr>
              <w:t>Endnotes</w:t>
            </w:r>
            <w:r w:rsidR="00297101">
              <w:rPr>
                <w:noProof/>
                <w:webHidden/>
              </w:rPr>
              <w:tab/>
            </w:r>
            <w:r w:rsidR="00297101">
              <w:rPr>
                <w:noProof/>
                <w:webHidden/>
              </w:rPr>
              <w:fldChar w:fldCharType="begin"/>
            </w:r>
            <w:r w:rsidR="00297101">
              <w:rPr>
                <w:noProof/>
                <w:webHidden/>
              </w:rPr>
              <w:instrText xml:space="preserve"> PAGEREF _Toc520813350 \h </w:instrText>
            </w:r>
            <w:r w:rsidR="00297101">
              <w:rPr>
                <w:noProof/>
                <w:webHidden/>
              </w:rPr>
            </w:r>
            <w:r w:rsidR="00297101">
              <w:rPr>
                <w:noProof/>
                <w:webHidden/>
              </w:rPr>
              <w:fldChar w:fldCharType="separate"/>
            </w:r>
            <w:r w:rsidR="00297101">
              <w:rPr>
                <w:noProof/>
                <w:webHidden/>
              </w:rPr>
              <w:t>11</w:t>
            </w:r>
            <w:r w:rsidR="00297101">
              <w:rPr>
                <w:noProof/>
                <w:webHidden/>
              </w:rPr>
              <w:fldChar w:fldCharType="end"/>
            </w:r>
          </w:hyperlink>
        </w:p>
        <w:p w:rsidR="00297101" w:rsidRDefault="00297101">
          <w:r>
            <w:rPr>
              <w:b/>
              <w:bCs/>
              <w:noProof/>
            </w:rPr>
            <w:fldChar w:fldCharType="end"/>
          </w:r>
        </w:p>
      </w:sdtContent>
    </w:sdt>
    <w:p w:rsidR="00C97284" w:rsidRDefault="00C97284" w:rsidP="00DB5D30">
      <w:pPr>
        <w:pStyle w:val="Heading1"/>
      </w:pPr>
      <w:bookmarkStart w:id="0" w:name="_Toc520813339"/>
      <w:r>
        <w:t>Introduction</w:t>
      </w:r>
      <w:bookmarkEnd w:id="0"/>
    </w:p>
    <w:p w:rsidR="00C97284" w:rsidRDefault="0042315E" w:rsidP="00C97284">
      <w:r>
        <w:t>I am continually creating forecasts for clients: land prices, expenses, acreage numbers, labor rate</w:t>
      </w:r>
      <w:r w:rsidR="00F20A40">
        <w:t>s</w:t>
      </w:r>
      <w:r w:rsidR="0036503E">
        <w:t>, revenue</w:t>
      </w:r>
      <w:r>
        <w:t xml:space="preserve"> and, especially, grape prices.  But those forecasts can be narrowly focused.  For instance, a client may want a forecast for the 80</w:t>
      </w:r>
      <w:r w:rsidRPr="0042315E">
        <w:rPr>
          <w:vertAlign w:val="superscript"/>
        </w:rPr>
        <w:t>th</w:t>
      </w:r>
      <w:r>
        <w:t xml:space="preserve"> percentile price for Pinot Noir in Sonoma County.</w:t>
      </w:r>
      <w:r w:rsidR="00412C9E">
        <w:t xml:space="preserve">  That means I spend a great deal of time looking at specific segments of the West Coast wine grape market.</w:t>
      </w:r>
    </w:p>
    <w:p w:rsidR="00F20A40" w:rsidRDefault="00412C9E" w:rsidP="00C97284">
      <w:r>
        <w:t xml:space="preserve">As </w:t>
      </w:r>
      <w:hyperlink r:id="rId8" w:history="1">
        <w:r w:rsidRPr="00F20A40">
          <w:rPr>
            <w:rStyle w:val="Hyperlink"/>
          </w:rPr>
          <w:t>I have discussed before</w:t>
        </w:r>
      </w:hyperlink>
      <w:r w:rsidR="00F20A40">
        <w:t xml:space="preserve">, we humans have a huge design flaw: our tendency to let cognitive biases dictate our views and decisions.  To avoid this, I </w:t>
      </w:r>
      <w:r w:rsidR="00C67967">
        <w:t>have decided</w:t>
      </w:r>
      <w:r w:rsidR="00F20A40">
        <w:t xml:space="preserve"> to</w:t>
      </w:r>
      <w:r w:rsidR="00C67967">
        <w:t xml:space="preserve"> methodically</w:t>
      </w:r>
      <w:r w:rsidR="00F20A40">
        <w:t xml:space="preserve"> take a broader look at the West Coast wine grape market.  I plan to forecast the overall, average price of wine grapes grown across many, if not all, wine grape-producing regions of California, Oregon and Washington.  I also plan to make these forecasts public.  </w:t>
      </w:r>
    </w:p>
    <w:p w:rsidR="00412C9E" w:rsidRDefault="00F20A40" w:rsidP="00C97284">
      <w:r>
        <w:t>My goals</w:t>
      </w:r>
      <w:r w:rsidR="00C67967">
        <w:t xml:space="preserve"> in making these forecasts public</w:t>
      </w:r>
      <w:r>
        <w:t xml:space="preserve"> are three-fold.  First, I hope the industry makes use of them and this leads to greater use of quantitative analysis for decision-making.  Second, I hope that some of my readers are prompted to get in touch and see </w:t>
      </w:r>
      <w:hyperlink r:id="rId9" w:history="1">
        <w:r w:rsidRPr="00F20A40">
          <w:rPr>
            <w:rStyle w:val="Hyperlink"/>
          </w:rPr>
          <w:t>how my forecasting skills can benefit their businesses</w:t>
        </w:r>
      </w:hyperlink>
      <w:r>
        <w:t xml:space="preserve">.  Finally, while I keep detailed, internal records of my forecasting results and accuracy, nothing is as transparent and useful as a public record.  I have made many public forecasts and review them each year.  I have not kept great </w:t>
      </w:r>
      <w:r w:rsidR="00C67967">
        <w:t>public</w:t>
      </w:r>
      <w:r>
        <w:t xml:space="preserve"> records, however.  This project will present a good starting point for creating such a record.  I believe that I am the best forecaster of wine grape prices and intend to provide proof.</w:t>
      </w:r>
    </w:p>
    <w:p w:rsidR="00F20A40" w:rsidRDefault="00F20A40" w:rsidP="00C97284">
      <w:r>
        <w:lastRenderedPageBreak/>
        <w:t xml:space="preserve">I have put the forecasts near the top of this document, since I know that is the most interesting part.  I would strongly recommend that, if you intend to make any use of these forecasts, that you read the </w:t>
      </w:r>
      <w:r w:rsidR="00C67967">
        <w:t>whole document</w:t>
      </w:r>
      <w:r>
        <w:t>.  Understand what the</w:t>
      </w:r>
      <w:r w:rsidR="00C67967">
        <w:t>se forecasts</w:t>
      </w:r>
      <w:r>
        <w:t xml:space="preserve"> mean, </w:t>
      </w:r>
      <w:r w:rsidR="00C67967">
        <w:t xml:space="preserve">a bit about </w:t>
      </w:r>
      <w:r>
        <w:t xml:space="preserve">how they were created </w:t>
      </w:r>
      <w:proofErr w:type="gramStart"/>
      <w:r>
        <w:t>and</w:t>
      </w:r>
      <w:r w:rsidR="00C67967">
        <w:t xml:space="preserve"> also</w:t>
      </w:r>
      <w:proofErr w:type="gramEnd"/>
      <w:r>
        <w:t xml:space="preserve"> how to adjust them as the future unfolds.</w:t>
      </w:r>
    </w:p>
    <w:p w:rsidR="00F20A40" w:rsidRDefault="00F20A40" w:rsidP="00C97284">
      <w:r>
        <w:t>I invite you to make requests.  Whichever region</w:t>
      </w:r>
      <w:r w:rsidR="00C47794">
        <w:t>(s)</w:t>
      </w:r>
      <w:r>
        <w:t xml:space="preserve"> get the most requests will be published first.  I cannot promise any timeline, as I must prioritize client work.  The forecasts I may generate are only for all wine grapes (no specific variety and not including table grapes crushed for wine.)  In addition to this forecast of Washington prices, I will consider Oregon</w:t>
      </w:r>
      <w:r w:rsidR="00C47794">
        <w:t>’s statewide prices</w:t>
      </w:r>
      <w:r>
        <w:t>, any of USDA’s 17 California Grape Pricing Districts</w:t>
      </w:r>
      <w:r w:rsidR="00C47794">
        <w:t xml:space="preserve"> and California’s statewide price.</w:t>
      </w:r>
    </w:p>
    <w:p w:rsidR="00185AE3" w:rsidRPr="00C97284" w:rsidRDefault="00185AE3" w:rsidP="00C97284">
      <w:r>
        <w:t>Finally, let me ask for your pardon in advance if proof-reading or presentation are a bit lacking.  As this is not a paying client project, I have emphasized content, but not presentation, to reduce the work involved in making this public.</w:t>
      </w:r>
    </w:p>
    <w:p w:rsidR="00C97284" w:rsidRDefault="00C97284" w:rsidP="00DB5D30">
      <w:pPr>
        <w:pStyle w:val="Heading1"/>
      </w:pPr>
      <w:bookmarkStart w:id="1" w:name="_Toc520813340"/>
      <w:r>
        <w:t>Forecast (Nominal and Inflation-Adjusted)</w:t>
      </w:r>
      <w:bookmarkEnd w:id="1"/>
    </w:p>
    <w:p w:rsidR="00C47794" w:rsidRPr="00C47794" w:rsidRDefault="00986267" w:rsidP="00C47794">
      <w:r>
        <w:t xml:space="preserve">Before I jump into the forecasts I want to reiterate that you should read more than just the forecasts.  At the very least, read the rest of this section for </w:t>
      </w:r>
      <w:r w:rsidR="00127F8C">
        <w:t xml:space="preserve">some </w:t>
      </w:r>
      <w:r>
        <w:t xml:space="preserve">explanation of the forecasts.  I would also strongly recommend the next section, which contains some concise discussion of the forecast.  Finally, if you’re interested in the forecasting process or understanding how to judge the forecast, read sections </w:t>
      </w:r>
      <w:hyperlink w:anchor="_Component_Models" w:history="1">
        <w:r w:rsidRPr="0081722D">
          <w:rPr>
            <w:rStyle w:val="Hyperlink"/>
          </w:rPr>
          <w:t>4 Component Models</w:t>
        </w:r>
      </w:hyperlink>
      <w:r>
        <w:t xml:space="preserve"> and </w:t>
      </w:r>
      <w:hyperlink w:anchor="_Benchmark_Models" w:history="1">
        <w:r w:rsidRPr="0081722D">
          <w:rPr>
            <w:rStyle w:val="Hyperlink"/>
          </w:rPr>
          <w:t>5</w:t>
        </w:r>
        <w:r w:rsidR="0081722D" w:rsidRPr="0081722D">
          <w:rPr>
            <w:rStyle w:val="Hyperlink"/>
          </w:rPr>
          <w:t xml:space="preserve"> Benchmark Models</w:t>
        </w:r>
      </w:hyperlink>
      <w:r>
        <w:t>.</w:t>
      </w:r>
    </w:p>
    <w:p w:rsidR="008539B3" w:rsidRDefault="008539B3" w:rsidP="00DB5D30">
      <w:pPr>
        <w:pStyle w:val="Heading2"/>
      </w:pPr>
      <w:bookmarkStart w:id="2" w:name="_Toc520813341"/>
      <w:r>
        <w:t>Charts and Tables</w:t>
      </w:r>
      <w:bookmarkEnd w:id="2"/>
    </w:p>
    <w:p w:rsidR="00127F8C" w:rsidRDefault="00127F8C" w:rsidP="00127F8C">
      <w:r>
        <w:t>I have presented the forecasts in two forms: inflation-adjusted into constant, 2017 dollars and non-adjusted, nominal dollars</w:t>
      </w:r>
      <w:r w:rsidR="0072458A">
        <w:rPr>
          <w:rStyle w:val="EndnoteReference"/>
        </w:rPr>
        <w:endnoteReference w:id="1"/>
      </w:r>
      <w:r>
        <w:t xml:space="preserve">.  </w:t>
      </w:r>
      <w:r w:rsidR="005F10DC">
        <w:t>In t</w:t>
      </w:r>
      <w:r>
        <w:t>he</w:t>
      </w:r>
      <w:r w:rsidR="005F10DC">
        <w:t xml:space="preserve"> tables, the</w:t>
      </w:r>
      <w:r>
        <w:t xml:space="preserve"> Forecast column is bolded</w:t>
      </w:r>
      <w:r w:rsidR="00B221FD">
        <w:t>, while the columns that indicate the probability distribution are not</w:t>
      </w:r>
      <w:r>
        <w:t>.</w:t>
      </w:r>
      <w:r w:rsidR="00B221FD">
        <w:t xml:space="preserve">  The charts are presented with point forecasts in white and probability distributions in gradient colors. </w:t>
      </w:r>
      <w:r>
        <w:t xml:space="preserve">  For help understanding the use</w:t>
      </w:r>
      <w:r w:rsidR="00637DA0">
        <w:t>, presentation</w:t>
      </w:r>
      <w:r>
        <w:t xml:space="preserve"> and meaning of the probability distribution, see </w:t>
      </w:r>
      <w:hyperlink w:anchor="_Discussion_of_Probability" w:history="1">
        <w:r w:rsidRPr="00127F8C">
          <w:rPr>
            <w:rStyle w:val="Hyperlink"/>
          </w:rPr>
          <w:t>2.5 Discussion of Probability Distribution</w:t>
        </w:r>
      </w:hyperlink>
      <w:r>
        <w:t>.</w:t>
      </w:r>
      <w:r w:rsidR="005F10DC">
        <w:t xml:space="preserve">  </w:t>
      </w:r>
    </w:p>
    <w:tbl>
      <w:tblPr>
        <w:tblStyle w:val="ListTable6Colorful-Accent2"/>
        <w:tblW w:w="9693" w:type="dxa"/>
        <w:tblLook w:val="04A0" w:firstRow="1" w:lastRow="0" w:firstColumn="1" w:lastColumn="0" w:noHBand="0" w:noVBand="1"/>
      </w:tblPr>
      <w:tblGrid>
        <w:gridCol w:w="663"/>
        <w:gridCol w:w="1008"/>
        <w:gridCol w:w="1008"/>
        <w:gridCol w:w="1008"/>
        <w:gridCol w:w="1107"/>
        <w:gridCol w:w="1113"/>
        <w:gridCol w:w="1107"/>
        <w:gridCol w:w="1107"/>
        <w:gridCol w:w="1107"/>
        <w:gridCol w:w="1107"/>
      </w:tblGrid>
      <w:tr w:rsidR="00127F8C" w:rsidRPr="00127F8C" w:rsidTr="00127F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1" w:type="dxa"/>
            <w:noWrap/>
            <w:vAlign w:val="center"/>
            <w:hideMark/>
          </w:tcPr>
          <w:p w:rsidR="00127F8C" w:rsidRPr="00127F8C" w:rsidRDefault="00127F8C" w:rsidP="00185AE3">
            <w:pPr>
              <w:keepNext/>
              <w:jc w:val="center"/>
              <w:rPr>
                <w:rFonts w:ascii="Calibri" w:eastAsia="Times New Roman" w:hAnsi="Calibri" w:cs="Times New Roman"/>
                <w:b w:val="0"/>
                <w:color w:val="000000"/>
              </w:rPr>
            </w:pPr>
            <w:r w:rsidRPr="00127F8C">
              <w:rPr>
                <w:rFonts w:ascii="Calibri" w:eastAsia="Times New Roman" w:hAnsi="Calibri" w:cs="Times New Roman"/>
                <w:b w:val="0"/>
                <w:color w:val="000000"/>
              </w:rPr>
              <w:lastRenderedPageBreak/>
              <w:t>Year</w:t>
            </w:r>
          </w:p>
        </w:tc>
        <w:tc>
          <w:tcPr>
            <w:tcW w:w="1008" w:type="dxa"/>
            <w:noWrap/>
            <w:hideMark/>
          </w:tcPr>
          <w:p w:rsidR="00127F8C" w:rsidRPr="00127F8C" w:rsidRDefault="00127F8C" w:rsidP="00185AE3">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27F8C">
              <w:rPr>
                <w:rFonts w:ascii="Calibri" w:eastAsia="Times New Roman" w:hAnsi="Calibri" w:cs="Times New Roman"/>
                <w:b w:val="0"/>
                <w:color w:val="000000"/>
              </w:rPr>
              <w:t>2.5 Lower</w:t>
            </w:r>
          </w:p>
        </w:tc>
        <w:tc>
          <w:tcPr>
            <w:tcW w:w="1008" w:type="dxa"/>
            <w:noWrap/>
            <w:hideMark/>
          </w:tcPr>
          <w:p w:rsidR="00127F8C" w:rsidRPr="00127F8C" w:rsidRDefault="00127F8C" w:rsidP="00185AE3">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27F8C">
              <w:rPr>
                <w:rFonts w:ascii="Calibri" w:eastAsia="Times New Roman" w:hAnsi="Calibri" w:cs="Times New Roman"/>
                <w:b w:val="0"/>
                <w:color w:val="000000"/>
              </w:rPr>
              <w:t>5.0 Lower</w:t>
            </w:r>
          </w:p>
        </w:tc>
        <w:tc>
          <w:tcPr>
            <w:tcW w:w="1008" w:type="dxa"/>
            <w:noWrap/>
            <w:hideMark/>
          </w:tcPr>
          <w:p w:rsidR="00127F8C" w:rsidRPr="00127F8C" w:rsidRDefault="00127F8C" w:rsidP="00185AE3">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27F8C">
              <w:rPr>
                <w:rFonts w:ascii="Calibri" w:eastAsia="Times New Roman" w:hAnsi="Calibri" w:cs="Times New Roman"/>
                <w:b w:val="0"/>
                <w:color w:val="000000"/>
              </w:rPr>
              <w:t>10.0 Lower</w:t>
            </w:r>
          </w:p>
        </w:tc>
        <w:tc>
          <w:tcPr>
            <w:tcW w:w="1008" w:type="dxa"/>
            <w:noWrap/>
            <w:hideMark/>
          </w:tcPr>
          <w:p w:rsidR="00127F8C" w:rsidRPr="00127F8C" w:rsidRDefault="00127F8C" w:rsidP="00185AE3">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27F8C">
              <w:rPr>
                <w:rFonts w:ascii="Calibri" w:eastAsia="Times New Roman" w:hAnsi="Calibri" w:cs="Times New Roman"/>
                <w:b w:val="0"/>
                <w:color w:val="000000"/>
              </w:rPr>
              <w:t>20.0 Lower</w:t>
            </w:r>
          </w:p>
        </w:tc>
        <w:tc>
          <w:tcPr>
            <w:tcW w:w="1008" w:type="dxa"/>
            <w:noWrap/>
            <w:vAlign w:val="center"/>
            <w:hideMark/>
          </w:tcPr>
          <w:p w:rsidR="00127F8C" w:rsidRPr="00127F8C" w:rsidRDefault="00127F8C" w:rsidP="00185AE3">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Forecast</w:t>
            </w:r>
          </w:p>
        </w:tc>
        <w:tc>
          <w:tcPr>
            <w:tcW w:w="1008" w:type="dxa"/>
            <w:noWrap/>
            <w:hideMark/>
          </w:tcPr>
          <w:p w:rsidR="00127F8C" w:rsidRPr="00127F8C" w:rsidRDefault="00127F8C" w:rsidP="00185AE3">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27F8C">
              <w:rPr>
                <w:rFonts w:ascii="Calibri" w:eastAsia="Times New Roman" w:hAnsi="Calibri" w:cs="Times New Roman"/>
                <w:b w:val="0"/>
                <w:color w:val="000000"/>
              </w:rPr>
              <w:t>80.0 Upper</w:t>
            </w:r>
          </w:p>
        </w:tc>
        <w:tc>
          <w:tcPr>
            <w:tcW w:w="1008" w:type="dxa"/>
            <w:noWrap/>
            <w:hideMark/>
          </w:tcPr>
          <w:p w:rsidR="00127F8C" w:rsidRPr="00127F8C" w:rsidRDefault="00127F8C" w:rsidP="00185AE3">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27F8C">
              <w:rPr>
                <w:rFonts w:ascii="Calibri" w:eastAsia="Times New Roman" w:hAnsi="Calibri" w:cs="Times New Roman"/>
                <w:b w:val="0"/>
                <w:color w:val="000000"/>
              </w:rPr>
              <w:t>90.0 Upper</w:t>
            </w:r>
          </w:p>
        </w:tc>
        <w:tc>
          <w:tcPr>
            <w:tcW w:w="1008" w:type="dxa"/>
            <w:noWrap/>
            <w:hideMark/>
          </w:tcPr>
          <w:p w:rsidR="00127F8C" w:rsidRPr="00127F8C" w:rsidRDefault="00127F8C" w:rsidP="00185AE3">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27F8C">
              <w:rPr>
                <w:rFonts w:ascii="Calibri" w:eastAsia="Times New Roman" w:hAnsi="Calibri" w:cs="Times New Roman"/>
                <w:b w:val="0"/>
                <w:color w:val="000000"/>
              </w:rPr>
              <w:t>95.0 Upper</w:t>
            </w:r>
          </w:p>
        </w:tc>
        <w:tc>
          <w:tcPr>
            <w:tcW w:w="1008" w:type="dxa"/>
            <w:noWrap/>
            <w:hideMark/>
          </w:tcPr>
          <w:p w:rsidR="00127F8C" w:rsidRPr="00127F8C" w:rsidRDefault="00127F8C" w:rsidP="00185AE3">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127F8C">
              <w:rPr>
                <w:rFonts w:ascii="Calibri" w:eastAsia="Times New Roman" w:hAnsi="Calibri" w:cs="Times New Roman"/>
                <w:b w:val="0"/>
                <w:color w:val="000000"/>
              </w:rPr>
              <w:t>97.5 Upper</w:t>
            </w:r>
          </w:p>
        </w:tc>
      </w:tr>
      <w:tr w:rsidR="00127F8C" w:rsidRPr="00127F8C" w:rsidTr="00127F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1" w:type="dxa"/>
            <w:noWrap/>
            <w:hideMark/>
          </w:tcPr>
          <w:p w:rsidR="00127F8C" w:rsidRPr="00127F8C" w:rsidRDefault="00127F8C" w:rsidP="00185AE3">
            <w:pPr>
              <w:keepNext/>
              <w:jc w:val="center"/>
              <w:rPr>
                <w:rFonts w:ascii="Calibri" w:eastAsia="Times New Roman" w:hAnsi="Calibri" w:cs="Times New Roman"/>
                <w:b w:val="0"/>
                <w:color w:val="000000"/>
              </w:rPr>
            </w:pPr>
            <w:r w:rsidRPr="00127F8C">
              <w:rPr>
                <w:rFonts w:ascii="Calibri" w:eastAsia="Times New Roman" w:hAnsi="Calibri" w:cs="Times New Roman"/>
                <w:b w:val="0"/>
                <w:color w:val="000000"/>
              </w:rPr>
              <w:t>2018</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$871.16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$923.03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$982.84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$1,055.25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127F8C">
              <w:rPr>
                <w:rFonts w:ascii="Calibri" w:eastAsia="Times New Roman" w:hAnsi="Calibri" w:cs="Times New Roman"/>
                <w:b/>
                <w:color w:val="000000"/>
              </w:rPr>
              <w:t xml:space="preserve">$1,176.60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$1,332.33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$1,404.75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$1,464.55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$1,516.42 </w:t>
            </w:r>
          </w:p>
        </w:tc>
      </w:tr>
      <w:tr w:rsidR="00127F8C" w:rsidRPr="00127F8C" w:rsidTr="00127F8C">
        <w:trPr>
          <w:trHeight w:val="300"/>
        </w:trPr>
        <w:tc>
          <w:tcPr>
            <w:cnfStyle w:val="001000000000" w:firstRow="0" w:lastRow="0" w:firstColumn="1" w:lastColumn="0" w:oddVBand="0" w:evenVBand="0" w:oddHBand="0" w:evenHBand="0" w:firstRowFirstColumn="0" w:firstRowLastColumn="0" w:lastRowFirstColumn="0" w:lastRowLastColumn="0"/>
            <w:tcW w:w="621" w:type="dxa"/>
            <w:noWrap/>
            <w:hideMark/>
          </w:tcPr>
          <w:p w:rsidR="00127F8C" w:rsidRPr="00127F8C" w:rsidRDefault="00127F8C" w:rsidP="00185AE3">
            <w:pPr>
              <w:keepNext/>
              <w:jc w:val="center"/>
              <w:rPr>
                <w:rFonts w:ascii="Calibri" w:eastAsia="Times New Roman" w:hAnsi="Calibri" w:cs="Times New Roman"/>
                <w:b w:val="0"/>
                <w:color w:val="000000"/>
              </w:rPr>
            </w:pPr>
            <w:r w:rsidRPr="00127F8C">
              <w:rPr>
                <w:rFonts w:ascii="Calibri" w:eastAsia="Times New Roman" w:hAnsi="Calibri" w:cs="Times New Roman"/>
                <w:b w:val="0"/>
                <w:color w:val="000000"/>
              </w:rPr>
              <w:t>2019</w:t>
            </w:r>
          </w:p>
        </w:tc>
        <w:tc>
          <w:tcPr>
            <w:tcW w:w="1008" w:type="dxa"/>
            <w:noWrap/>
            <w:hideMark/>
          </w:tcPr>
          <w:p w:rsidR="00127F8C" w:rsidRPr="00127F8C" w:rsidRDefault="00127F8C" w:rsidP="00185AE3">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$785.65 </w:t>
            </w:r>
          </w:p>
        </w:tc>
        <w:tc>
          <w:tcPr>
            <w:tcW w:w="1008" w:type="dxa"/>
            <w:noWrap/>
            <w:hideMark/>
          </w:tcPr>
          <w:p w:rsidR="00127F8C" w:rsidRPr="00127F8C" w:rsidRDefault="00127F8C" w:rsidP="00185AE3">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$850.75 </w:t>
            </w:r>
          </w:p>
        </w:tc>
        <w:tc>
          <w:tcPr>
            <w:tcW w:w="1008" w:type="dxa"/>
            <w:noWrap/>
            <w:hideMark/>
          </w:tcPr>
          <w:p w:rsidR="00127F8C" w:rsidRPr="00127F8C" w:rsidRDefault="00127F8C" w:rsidP="00185AE3">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$925.82 </w:t>
            </w:r>
          </w:p>
        </w:tc>
        <w:tc>
          <w:tcPr>
            <w:tcW w:w="1008" w:type="dxa"/>
            <w:noWrap/>
            <w:hideMark/>
          </w:tcPr>
          <w:p w:rsidR="00127F8C" w:rsidRPr="00127F8C" w:rsidRDefault="00127F8C" w:rsidP="00185AE3">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$1,016.71 </w:t>
            </w:r>
          </w:p>
        </w:tc>
        <w:tc>
          <w:tcPr>
            <w:tcW w:w="1008" w:type="dxa"/>
            <w:noWrap/>
            <w:hideMark/>
          </w:tcPr>
          <w:p w:rsidR="00127F8C" w:rsidRPr="00127F8C" w:rsidRDefault="00127F8C" w:rsidP="00185AE3">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000000"/>
              </w:rPr>
            </w:pPr>
            <w:r w:rsidRPr="00127F8C">
              <w:rPr>
                <w:rFonts w:ascii="Calibri" w:eastAsia="Times New Roman" w:hAnsi="Calibri" w:cs="Times New Roman"/>
                <w:b/>
                <w:color w:val="000000"/>
              </w:rPr>
              <w:t xml:space="preserve">$1,165.20 </w:t>
            </w:r>
          </w:p>
        </w:tc>
        <w:tc>
          <w:tcPr>
            <w:tcW w:w="1008" w:type="dxa"/>
            <w:noWrap/>
            <w:hideMark/>
          </w:tcPr>
          <w:p w:rsidR="00127F8C" w:rsidRPr="00127F8C" w:rsidRDefault="00127F8C" w:rsidP="00185AE3">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$1,364.49 </w:t>
            </w:r>
          </w:p>
        </w:tc>
        <w:tc>
          <w:tcPr>
            <w:tcW w:w="1008" w:type="dxa"/>
            <w:noWrap/>
            <w:hideMark/>
          </w:tcPr>
          <w:p w:rsidR="00127F8C" w:rsidRPr="00127F8C" w:rsidRDefault="00127F8C" w:rsidP="00185AE3">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$1,455.39 </w:t>
            </w:r>
          </w:p>
        </w:tc>
        <w:tc>
          <w:tcPr>
            <w:tcW w:w="1008" w:type="dxa"/>
            <w:noWrap/>
            <w:hideMark/>
          </w:tcPr>
          <w:p w:rsidR="00127F8C" w:rsidRPr="00127F8C" w:rsidRDefault="00127F8C" w:rsidP="00185AE3">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$1,530.45 </w:t>
            </w:r>
          </w:p>
        </w:tc>
        <w:tc>
          <w:tcPr>
            <w:tcW w:w="1008" w:type="dxa"/>
            <w:noWrap/>
            <w:hideMark/>
          </w:tcPr>
          <w:p w:rsidR="00127F8C" w:rsidRPr="00127F8C" w:rsidRDefault="00127F8C" w:rsidP="00185AE3">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$1,595.56 </w:t>
            </w:r>
          </w:p>
        </w:tc>
      </w:tr>
      <w:tr w:rsidR="00127F8C" w:rsidRPr="00127F8C" w:rsidTr="00127F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1" w:type="dxa"/>
            <w:noWrap/>
            <w:hideMark/>
          </w:tcPr>
          <w:p w:rsidR="00127F8C" w:rsidRPr="00127F8C" w:rsidRDefault="00127F8C" w:rsidP="00185AE3">
            <w:pPr>
              <w:keepNext/>
              <w:jc w:val="center"/>
              <w:rPr>
                <w:rFonts w:ascii="Calibri" w:eastAsia="Times New Roman" w:hAnsi="Calibri" w:cs="Times New Roman"/>
                <w:b w:val="0"/>
                <w:color w:val="000000"/>
              </w:rPr>
            </w:pPr>
            <w:r w:rsidRPr="00127F8C">
              <w:rPr>
                <w:rFonts w:ascii="Calibri" w:eastAsia="Times New Roman" w:hAnsi="Calibri" w:cs="Times New Roman"/>
                <w:b w:val="0"/>
                <w:color w:val="000000"/>
              </w:rPr>
              <w:t>2020</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$742.69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$814.32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$896.89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$996.89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rPr>
            </w:pPr>
            <w:r w:rsidRPr="00127F8C">
              <w:rPr>
                <w:rFonts w:ascii="Calibri" w:eastAsia="Times New Roman" w:hAnsi="Calibri" w:cs="Times New Roman"/>
                <w:b/>
                <w:color w:val="000000"/>
              </w:rPr>
              <w:t xml:space="preserve">$1,158.39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$1,379.47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$1,479.47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$1,562.04 </w:t>
            </w:r>
          </w:p>
        </w:tc>
        <w:tc>
          <w:tcPr>
            <w:tcW w:w="1008" w:type="dxa"/>
            <w:noWrap/>
            <w:hideMark/>
          </w:tcPr>
          <w:p w:rsidR="00127F8C" w:rsidRPr="00127F8C" w:rsidRDefault="00127F8C" w:rsidP="00185AE3">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27F8C">
              <w:rPr>
                <w:rFonts w:ascii="Calibri" w:eastAsia="Times New Roman" w:hAnsi="Calibri" w:cs="Times New Roman"/>
                <w:color w:val="000000"/>
              </w:rPr>
              <w:t xml:space="preserve">$1,633.67 </w:t>
            </w:r>
          </w:p>
        </w:tc>
      </w:tr>
    </w:tbl>
    <w:p w:rsidR="00127F8C" w:rsidRDefault="00185AE3" w:rsidP="00185AE3">
      <w:pPr>
        <w:pStyle w:val="Caption"/>
        <w:keepNext/>
      </w:pPr>
      <w:r>
        <w:t xml:space="preserve">Table </w:t>
      </w:r>
      <w:r w:rsidR="00926F77">
        <w:fldChar w:fldCharType="begin"/>
      </w:r>
      <w:r w:rsidR="00926F77">
        <w:instrText xml:space="preserve"> SEQ Table \* ARABIC </w:instrText>
      </w:r>
      <w:r w:rsidR="00926F77">
        <w:fldChar w:fldCharType="separate"/>
      </w:r>
      <w:r w:rsidR="00E76219">
        <w:rPr>
          <w:noProof/>
        </w:rPr>
        <w:t>1</w:t>
      </w:r>
      <w:r w:rsidR="00926F77">
        <w:rPr>
          <w:noProof/>
        </w:rPr>
        <w:fldChar w:fldCharType="end"/>
      </w:r>
      <w:r>
        <w:t>: Forecasted Average Price for Washington Wine Grapes, in 2017 Dollars</w:t>
      </w:r>
    </w:p>
    <w:p w:rsidR="00185AE3" w:rsidRDefault="00185AE3" w:rsidP="00185AE3">
      <w:pPr>
        <w:pStyle w:val="Caption"/>
        <w:keepNext/>
      </w:pPr>
      <w:bookmarkStart w:id="3" w:name="_Ref520745983"/>
      <w:r>
        <w:t xml:space="preserve">Chart </w:t>
      </w:r>
      <w:r w:rsidR="00926F77">
        <w:fldChar w:fldCharType="begin"/>
      </w:r>
      <w:r w:rsidR="00926F77">
        <w:instrText xml:space="preserve"> SEQ Chart \* ARABIC </w:instrText>
      </w:r>
      <w:r w:rsidR="00926F77">
        <w:fldChar w:fldCharType="separate"/>
      </w:r>
      <w:r w:rsidR="007645B7">
        <w:rPr>
          <w:noProof/>
        </w:rPr>
        <w:t>1</w:t>
      </w:r>
      <w:r w:rsidR="00926F77">
        <w:rPr>
          <w:noProof/>
        </w:rPr>
        <w:fldChar w:fldCharType="end"/>
      </w:r>
      <w:bookmarkEnd w:id="3"/>
      <w:r>
        <w:t xml:space="preserve">: </w:t>
      </w:r>
      <w:r w:rsidRPr="006B6B16">
        <w:t>Forecasted Average Price, 2017 Dollars, for Washington Wine Grapes</w:t>
      </w:r>
    </w:p>
    <w:p w:rsidR="00185AE3" w:rsidRDefault="00185AE3" w:rsidP="00185AE3">
      <w:r>
        <w:rPr>
          <w:noProof/>
        </w:rPr>
        <w:drawing>
          <wp:inline distT="0" distB="0" distL="0" distR="0" wp14:anchorId="0BB9D206" wp14:editId="7F036C46">
            <wp:extent cx="6858000" cy="3846195"/>
            <wp:effectExtent l="0" t="0" r="0" b="1905"/>
            <wp:docPr id="1" name="Chart 1">
              <a:extLst xmlns:a="http://schemas.openxmlformats.org/drawingml/2006/main">
                <a:ext uri="{FF2B5EF4-FFF2-40B4-BE49-F238E27FC236}">
                  <a16:creationId xmlns:a16="http://schemas.microsoft.com/office/drawing/2014/main" id="{1522A115-2EEC-4B99-9A30-D912D9380E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5AE3" w:rsidRDefault="00185AE3" w:rsidP="00185AE3"/>
    <w:tbl>
      <w:tblPr>
        <w:tblStyle w:val="ListTable6Colorful-Accent2"/>
        <w:tblW w:w="10335" w:type="dxa"/>
        <w:tblLook w:val="04A0" w:firstRow="1" w:lastRow="0" w:firstColumn="1" w:lastColumn="0" w:noHBand="0" w:noVBand="1"/>
      </w:tblPr>
      <w:tblGrid>
        <w:gridCol w:w="663"/>
        <w:gridCol w:w="1008"/>
        <w:gridCol w:w="1008"/>
        <w:gridCol w:w="1107"/>
        <w:gridCol w:w="1107"/>
        <w:gridCol w:w="1113"/>
        <w:gridCol w:w="1107"/>
        <w:gridCol w:w="1107"/>
        <w:gridCol w:w="1107"/>
        <w:gridCol w:w="1107"/>
      </w:tblGrid>
      <w:tr w:rsidR="00185AE3" w:rsidRPr="00127F8C" w:rsidTr="00E66B8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 w:type="dxa"/>
            <w:noWrap/>
            <w:vAlign w:val="center"/>
            <w:hideMark/>
          </w:tcPr>
          <w:p w:rsidR="00185AE3" w:rsidRDefault="00185AE3" w:rsidP="00E66B86">
            <w:pPr>
              <w:keepNext/>
              <w:jc w:val="center"/>
              <w:rPr>
                <w:rFonts w:ascii="Calibri" w:hAnsi="Calibri"/>
                <w:color w:val="000000"/>
              </w:rPr>
            </w:pPr>
            <w:r>
              <w:rPr>
                <w:rFonts w:ascii="Calibri" w:hAnsi="Calibri"/>
                <w:b w:val="0"/>
                <w:bCs w:val="0"/>
                <w:color w:val="000000"/>
              </w:rPr>
              <w:lastRenderedPageBreak/>
              <w:t>Date</w:t>
            </w:r>
          </w:p>
        </w:tc>
        <w:tc>
          <w:tcPr>
            <w:tcW w:w="1008" w:type="dxa"/>
            <w:noWrap/>
            <w:vAlign w:val="bottom"/>
            <w:hideMark/>
          </w:tcPr>
          <w:p w:rsidR="00185AE3" w:rsidRDefault="00185AE3" w:rsidP="00940600">
            <w:pPr>
              <w:keepNext/>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2.5 Lower</w:t>
            </w:r>
          </w:p>
        </w:tc>
        <w:tc>
          <w:tcPr>
            <w:tcW w:w="1008" w:type="dxa"/>
            <w:noWrap/>
            <w:vAlign w:val="bottom"/>
            <w:hideMark/>
          </w:tcPr>
          <w:p w:rsidR="00185AE3" w:rsidRDefault="00185AE3" w:rsidP="00940600">
            <w:pPr>
              <w:keepNext/>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5.0 Lower</w:t>
            </w:r>
          </w:p>
        </w:tc>
        <w:tc>
          <w:tcPr>
            <w:tcW w:w="1008" w:type="dxa"/>
            <w:noWrap/>
            <w:vAlign w:val="bottom"/>
            <w:hideMark/>
          </w:tcPr>
          <w:p w:rsidR="00185AE3" w:rsidRDefault="00185AE3" w:rsidP="00940600">
            <w:pPr>
              <w:keepNext/>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10.0 Lower</w:t>
            </w:r>
          </w:p>
        </w:tc>
        <w:tc>
          <w:tcPr>
            <w:tcW w:w="1107" w:type="dxa"/>
            <w:noWrap/>
            <w:vAlign w:val="bottom"/>
            <w:hideMark/>
          </w:tcPr>
          <w:p w:rsidR="00185AE3" w:rsidRDefault="00185AE3" w:rsidP="00940600">
            <w:pPr>
              <w:keepNext/>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20.0 Lower</w:t>
            </w:r>
          </w:p>
        </w:tc>
        <w:tc>
          <w:tcPr>
            <w:tcW w:w="1113" w:type="dxa"/>
            <w:noWrap/>
            <w:vAlign w:val="center"/>
            <w:hideMark/>
          </w:tcPr>
          <w:p w:rsidR="00185AE3" w:rsidRPr="00185AE3" w:rsidRDefault="00185AE3" w:rsidP="00E66B86">
            <w:pPr>
              <w:keepNext/>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rPr>
            </w:pPr>
            <w:r w:rsidRPr="00185AE3">
              <w:rPr>
                <w:rFonts w:ascii="Calibri" w:hAnsi="Calibri"/>
                <w:bCs w:val="0"/>
                <w:color w:val="000000"/>
              </w:rPr>
              <w:t>Forecast</w:t>
            </w:r>
          </w:p>
        </w:tc>
        <w:tc>
          <w:tcPr>
            <w:tcW w:w="1107" w:type="dxa"/>
            <w:noWrap/>
            <w:vAlign w:val="bottom"/>
            <w:hideMark/>
          </w:tcPr>
          <w:p w:rsidR="00185AE3" w:rsidRDefault="00185AE3" w:rsidP="00940600">
            <w:pPr>
              <w:keepNext/>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80.0 Upper</w:t>
            </w:r>
          </w:p>
        </w:tc>
        <w:tc>
          <w:tcPr>
            <w:tcW w:w="1107" w:type="dxa"/>
            <w:noWrap/>
            <w:vAlign w:val="bottom"/>
            <w:hideMark/>
          </w:tcPr>
          <w:p w:rsidR="00185AE3" w:rsidRDefault="00185AE3" w:rsidP="00940600">
            <w:pPr>
              <w:keepNext/>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90.0 Upper</w:t>
            </w:r>
          </w:p>
        </w:tc>
        <w:tc>
          <w:tcPr>
            <w:tcW w:w="1107" w:type="dxa"/>
            <w:noWrap/>
            <w:vAlign w:val="bottom"/>
            <w:hideMark/>
          </w:tcPr>
          <w:p w:rsidR="00185AE3" w:rsidRDefault="00185AE3" w:rsidP="00940600">
            <w:pPr>
              <w:keepNext/>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95.0 Upper</w:t>
            </w:r>
          </w:p>
        </w:tc>
        <w:tc>
          <w:tcPr>
            <w:tcW w:w="1107" w:type="dxa"/>
            <w:noWrap/>
            <w:vAlign w:val="bottom"/>
            <w:hideMark/>
          </w:tcPr>
          <w:p w:rsidR="00185AE3" w:rsidRDefault="00185AE3" w:rsidP="00940600">
            <w:pPr>
              <w:keepNext/>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000000"/>
              </w:rPr>
            </w:pPr>
            <w:r>
              <w:rPr>
                <w:rFonts w:ascii="Calibri" w:hAnsi="Calibri"/>
                <w:b w:val="0"/>
                <w:bCs w:val="0"/>
                <w:color w:val="000000"/>
              </w:rPr>
              <w:t>97.5 Upper</w:t>
            </w:r>
          </w:p>
        </w:tc>
      </w:tr>
      <w:tr w:rsidR="00185AE3" w:rsidRPr="00127F8C" w:rsidTr="00185A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 w:type="dxa"/>
            <w:noWrap/>
            <w:vAlign w:val="bottom"/>
            <w:hideMark/>
          </w:tcPr>
          <w:p w:rsidR="00185AE3" w:rsidRDefault="00185AE3" w:rsidP="00940600">
            <w:pPr>
              <w:keepNext/>
              <w:jc w:val="right"/>
              <w:rPr>
                <w:rFonts w:ascii="Calibri" w:hAnsi="Calibri"/>
                <w:b w:val="0"/>
                <w:bCs w:val="0"/>
                <w:color w:val="000000"/>
              </w:rPr>
            </w:pPr>
            <w:r>
              <w:rPr>
                <w:rFonts w:ascii="Calibri" w:hAnsi="Calibri"/>
                <w:color w:val="000000"/>
              </w:rPr>
              <w:t>2018</w:t>
            </w:r>
          </w:p>
        </w:tc>
        <w:tc>
          <w:tcPr>
            <w:tcW w:w="1008"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$893.81 </w:t>
            </w:r>
          </w:p>
        </w:tc>
        <w:tc>
          <w:tcPr>
            <w:tcW w:w="1008"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$947.03 </w:t>
            </w:r>
          </w:p>
        </w:tc>
        <w:tc>
          <w:tcPr>
            <w:tcW w:w="1008"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$1,008.39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$1,082.69 </w:t>
            </w:r>
          </w:p>
        </w:tc>
        <w:tc>
          <w:tcPr>
            <w:tcW w:w="1113" w:type="dxa"/>
            <w:noWrap/>
            <w:vAlign w:val="bottom"/>
            <w:hideMark/>
          </w:tcPr>
          <w:p w:rsidR="00185AE3" w:rsidRP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185AE3">
              <w:rPr>
                <w:rFonts w:ascii="Calibri" w:hAnsi="Calibri"/>
                <w:b/>
                <w:color w:val="000000"/>
              </w:rPr>
              <w:t xml:space="preserve">$1,207.19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$1,366.97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$1,441.27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$1,502.63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$1,555.85 </w:t>
            </w:r>
          </w:p>
        </w:tc>
      </w:tr>
      <w:tr w:rsidR="00185AE3" w:rsidRPr="00127F8C" w:rsidTr="00185AE3">
        <w:trPr>
          <w:trHeight w:val="300"/>
        </w:trPr>
        <w:tc>
          <w:tcPr>
            <w:cnfStyle w:val="001000000000" w:firstRow="0" w:lastRow="0" w:firstColumn="1" w:lastColumn="0" w:oddVBand="0" w:evenVBand="0" w:oddHBand="0" w:evenHBand="0" w:firstRowFirstColumn="0" w:firstRowLastColumn="0" w:lastRowFirstColumn="0" w:lastRowLastColumn="0"/>
            <w:tcW w:w="663" w:type="dxa"/>
            <w:noWrap/>
            <w:vAlign w:val="bottom"/>
            <w:hideMark/>
          </w:tcPr>
          <w:p w:rsidR="00185AE3" w:rsidRDefault="00185AE3" w:rsidP="00940600">
            <w:pPr>
              <w:keepNext/>
              <w:jc w:val="right"/>
              <w:rPr>
                <w:rFonts w:ascii="Calibri" w:hAnsi="Calibri"/>
                <w:color w:val="000000"/>
              </w:rPr>
            </w:pPr>
            <w:r>
              <w:rPr>
                <w:rFonts w:ascii="Calibri" w:hAnsi="Calibri"/>
                <w:color w:val="000000"/>
              </w:rPr>
              <w:t>2019</w:t>
            </w:r>
          </w:p>
        </w:tc>
        <w:tc>
          <w:tcPr>
            <w:tcW w:w="1008" w:type="dxa"/>
            <w:noWrap/>
            <w:vAlign w:val="bottom"/>
            <w:hideMark/>
          </w:tcPr>
          <w:p w:rsidR="00185AE3" w:rsidRDefault="00185AE3" w:rsidP="00940600">
            <w:pPr>
              <w:keepNext/>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$824.62 </w:t>
            </w:r>
          </w:p>
        </w:tc>
        <w:tc>
          <w:tcPr>
            <w:tcW w:w="1008" w:type="dxa"/>
            <w:noWrap/>
            <w:vAlign w:val="bottom"/>
            <w:hideMark/>
          </w:tcPr>
          <w:p w:rsidR="00185AE3" w:rsidRDefault="00185AE3" w:rsidP="00940600">
            <w:pPr>
              <w:keepNext/>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$892.95 </w:t>
            </w:r>
          </w:p>
        </w:tc>
        <w:tc>
          <w:tcPr>
            <w:tcW w:w="1008" w:type="dxa"/>
            <w:noWrap/>
            <w:vAlign w:val="bottom"/>
            <w:hideMark/>
          </w:tcPr>
          <w:p w:rsidR="00185AE3" w:rsidRDefault="00185AE3" w:rsidP="00940600">
            <w:pPr>
              <w:keepNext/>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$971.74 </w:t>
            </w:r>
          </w:p>
        </w:tc>
        <w:tc>
          <w:tcPr>
            <w:tcW w:w="1107" w:type="dxa"/>
            <w:noWrap/>
            <w:vAlign w:val="bottom"/>
            <w:hideMark/>
          </w:tcPr>
          <w:p w:rsidR="00185AE3" w:rsidRDefault="00185AE3" w:rsidP="00940600">
            <w:pPr>
              <w:keepNext/>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$1,067.14 </w:t>
            </w:r>
          </w:p>
        </w:tc>
        <w:tc>
          <w:tcPr>
            <w:tcW w:w="1113" w:type="dxa"/>
            <w:noWrap/>
            <w:vAlign w:val="bottom"/>
            <w:hideMark/>
          </w:tcPr>
          <w:p w:rsidR="00185AE3" w:rsidRPr="00185AE3" w:rsidRDefault="00185AE3" w:rsidP="00940600">
            <w:pPr>
              <w:keepNext/>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185AE3">
              <w:rPr>
                <w:rFonts w:ascii="Calibri" w:hAnsi="Calibri"/>
                <w:b/>
                <w:color w:val="000000"/>
              </w:rPr>
              <w:t xml:space="preserve">$1,222.99 </w:t>
            </w:r>
          </w:p>
        </w:tc>
        <w:tc>
          <w:tcPr>
            <w:tcW w:w="1107" w:type="dxa"/>
            <w:noWrap/>
            <w:vAlign w:val="bottom"/>
            <w:hideMark/>
          </w:tcPr>
          <w:p w:rsidR="00185AE3" w:rsidRDefault="00185AE3" w:rsidP="00940600">
            <w:pPr>
              <w:keepNext/>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$1,432.17 </w:t>
            </w:r>
          </w:p>
        </w:tc>
        <w:tc>
          <w:tcPr>
            <w:tcW w:w="1107" w:type="dxa"/>
            <w:noWrap/>
            <w:vAlign w:val="bottom"/>
            <w:hideMark/>
          </w:tcPr>
          <w:p w:rsidR="00185AE3" w:rsidRDefault="00185AE3" w:rsidP="00940600">
            <w:pPr>
              <w:keepNext/>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$1,527.57 </w:t>
            </w:r>
          </w:p>
        </w:tc>
        <w:tc>
          <w:tcPr>
            <w:tcW w:w="1107" w:type="dxa"/>
            <w:noWrap/>
            <w:vAlign w:val="bottom"/>
            <w:hideMark/>
          </w:tcPr>
          <w:p w:rsidR="00185AE3" w:rsidRDefault="00185AE3" w:rsidP="00940600">
            <w:pPr>
              <w:keepNext/>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$1,606.36 </w:t>
            </w:r>
          </w:p>
        </w:tc>
        <w:tc>
          <w:tcPr>
            <w:tcW w:w="1107" w:type="dxa"/>
            <w:noWrap/>
            <w:vAlign w:val="bottom"/>
            <w:hideMark/>
          </w:tcPr>
          <w:p w:rsidR="00185AE3" w:rsidRDefault="00185AE3" w:rsidP="00940600">
            <w:pPr>
              <w:keepNext/>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 xml:space="preserve">$1,674.70 </w:t>
            </w:r>
          </w:p>
        </w:tc>
      </w:tr>
      <w:tr w:rsidR="00185AE3" w:rsidRPr="00127F8C" w:rsidTr="00185AE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3" w:type="dxa"/>
            <w:noWrap/>
            <w:vAlign w:val="bottom"/>
            <w:hideMark/>
          </w:tcPr>
          <w:p w:rsidR="00185AE3" w:rsidRDefault="00185AE3" w:rsidP="00940600">
            <w:pPr>
              <w:keepNext/>
              <w:jc w:val="right"/>
              <w:rPr>
                <w:rFonts w:ascii="Calibri" w:hAnsi="Calibri"/>
                <w:color w:val="000000"/>
              </w:rPr>
            </w:pPr>
            <w:r>
              <w:rPr>
                <w:rFonts w:ascii="Calibri" w:hAnsi="Calibri"/>
                <w:color w:val="000000"/>
              </w:rPr>
              <w:t>2020</w:t>
            </w:r>
          </w:p>
        </w:tc>
        <w:tc>
          <w:tcPr>
            <w:tcW w:w="1008"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$797.30 </w:t>
            </w:r>
          </w:p>
        </w:tc>
        <w:tc>
          <w:tcPr>
            <w:tcW w:w="1008"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$874.20 </w:t>
            </w:r>
          </w:p>
        </w:tc>
        <w:tc>
          <w:tcPr>
            <w:tcW w:w="1008"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$962.84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$1,070.19 </w:t>
            </w:r>
          </w:p>
        </w:tc>
        <w:tc>
          <w:tcPr>
            <w:tcW w:w="1113" w:type="dxa"/>
            <w:noWrap/>
            <w:vAlign w:val="bottom"/>
            <w:hideMark/>
          </w:tcPr>
          <w:p w:rsidR="00185AE3" w:rsidRP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rPr>
            </w:pPr>
            <w:r w:rsidRPr="00185AE3">
              <w:rPr>
                <w:rFonts w:ascii="Calibri" w:hAnsi="Calibri"/>
                <w:b/>
                <w:color w:val="000000"/>
              </w:rPr>
              <w:t xml:space="preserve">$1,243.57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$1,480.90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$1,588.25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$1,676.89 </w:t>
            </w:r>
          </w:p>
        </w:tc>
        <w:tc>
          <w:tcPr>
            <w:tcW w:w="1107" w:type="dxa"/>
            <w:noWrap/>
            <w:vAlign w:val="bottom"/>
            <w:hideMark/>
          </w:tcPr>
          <w:p w:rsidR="00185AE3" w:rsidRDefault="00185AE3" w:rsidP="00940600">
            <w:pPr>
              <w:keepNext/>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 xml:space="preserve">$1,753.79 </w:t>
            </w:r>
          </w:p>
        </w:tc>
      </w:tr>
    </w:tbl>
    <w:p w:rsidR="00185AE3" w:rsidRDefault="00185AE3" w:rsidP="00940600">
      <w:pPr>
        <w:pStyle w:val="Caption"/>
        <w:keepNext/>
      </w:pPr>
      <w:r>
        <w:t xml:space="preserve">Table </w:t>
      </w:r>
      <w:r w:rsidR="00926F77">
        <w:fldChar w:fldCharType="begin"/>
      </w:r>
      <w:r w:rsidR="00926F77">
        <w:instrText xml:space="preserve"> SEQ Table \* ARABIC </w:instrText>
      </w:r>
      <w:r w:rsidR="00926F77">
        <w:fldChar w:fldCharType="separate"/>
      </w:r>
      <w:r w:rsidR="00E76219">
        <w:rPr>
          <w:noProof/>
        </w:rPr>
        <w:t>2</w:t>
      </w:r>
      <w:r w:rsidR="00926F77">
        <w:rPr>
          <w:noProof/>
        </w:rPr>
        <w:fldChar w:fldCharType="end"/>
      </w:r>
      <w:r>
        <w:t>: Forecasted Average Price for Washington Wine Grapes, in Nominal Dollars</w:t>
      </w:r>
    </w:p>
    <w:p w:rsidR="00185AE3" w:rsidRDefault="00185AE3" w:rsidP="00940600">
      <w:pPr>
        <w:pStyle w:val="Caption"/>
        <w:keepNext/>
      </w:pPr>
      <w:bookmarkStart w:id="4" w:name="_Ref520745988"/>
      <w:r>
        <w:t xml:space="preserve">Chart </w:t>
      </w:r>
      <w:r w:rsidR="00926F77">
        <w:fldChar w:fldCharType="begin"/>
      </w:r>
      <w:r w:rsidR="00926F77">
        <w:instrText xml:space="preserve"> SEQ Chart \* ARABIC </w:instrText>
      </w:r>
      <w:r w:rsidR="00926F77">
        <w:fldChar w:fldCharType="separate"/>
      </w:r>
      <w:r w:rsidR="007645B7">
        <w:rPr>
          <w:noProof/>
        </w:rPr>
        <w:t>2</w:t>
      </w:r>
      <w:r w:rsidR="00926F77">
        <w:rPr>
          <w:noProof/>
        </w:rPr>
        <w:fldChar w:fldCharType="end"/>
      </w:r>
      <w:bookmarkEnd w:id="4"/>
      <w:r>
        <w:t xml:space="preserve">: </w:t>
      </w:r>
      <w:r w:rsidRPr="00892D72">
        <w:t>Forecasted Average Price, in Nominal Dollars, for Washington Wine Grapes</w:t>
      </w:r>
    </w:p>
    <w:p w:rsidR="00185AE3" w:rsidRPr="00185AE3" w:rsidRDefault="00185AE3" w:rsidP="00185AE3">
      <w:r>
        <w:rPr>
          <w:noProof/>
        </w:rPr>
        <w:drawing>
          <wp:inline distT="0" distB="0" distL="0" distR="0" wp14:anchorId="5DEB3D43" wp14:editId="647BCBB5">
            <wp:extent cx="6858000" cy="3841750"/>
            <wp:effectExtent l="0" t="0" r="0" b="6350"/>
            <wp:docPr id="2" name="Chart 2">
              <a:extLst xmlns:a="http://schemas.openxmlformats.org/drawingml/2006/main">
                <a:ext uri="{FF2B5EF4-FFF2-40B4-BE49-F238E27FC236}">
                  <a16:creationId xmlns:a16="http://schemas.microsoft.com/office/drawing/2014/main" id="{A2EE9250-C245-4B41-A273-29E88632FF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7794" w:rsidRDefault="00C47794" w:rsidP="00DB5D30">
      <w:pPr>
        <w:pStyle w:val="Heading2"/>
      </w:pPr>
      <w:bookmarkStart w:id="5" w:name="_Toc520813342"/>
      <w:r>
        <w:t>Possible Bias</w:t>
      </w:r>
      <w:bookmarkEnd w:id="5"/>
    </w:p>
    <w:p w:rsidR="00286CA6" w:rsidRDefault="00286CA6" w:rsidP="00286CA6">
      <w:r>
        <w:t>To estimate the model’s future performance, it was tested against a rolling hold-out sample.  In this case, I withheld the last three years of data, recalculated the formulae used to produce the forecast, using only that reduced sample set, and tested it against the withheld data.  I repeated this while withholding only two years of data and again, withholding only one year.  This yielded three one-year ahead forecasts, two two-year ahead forecasts and one three-year ahead forecast.</w:t>
      </w:r>
    </w:p>
    <w:p w:rsidR="00286CA6" w:rsidRDefault="00FA4381" w:rsidP="00286CA6">
      <w:r>
        <w:t xml:space="preserve">All these forecasts were slightly lower than the actual outcome, by an average of 1.61%.  One might argue that it would be appropriate to adjust the forecasts upward by 1.61%.  This is </w:t>
      </w:r>
      <w:proofErr w:type="gramStart"/>
      <w:r>
        <w:t>legitimate</w:t>
      </w:r>
      <w:proofErr w:type="gramEnd"/>
      <w:r>
        <w:t xml:space="preserve"> and you may want to do this.  I chose not to.  It is a small error and based on a rel</w:t>
      </w:r>
      <w:r w:rsidR="004F2F0C">
        <w:t>atively small hold-out sample.</w:t>
      </w:r>
    </w:p>
    <w:p w:rsidR="00C97284" w:rsidRDefault="00C97284" w:rsidP="00DB5D30">
      <w:pPr>
        <w:pStyle w:val="Heading2"/>
      </w:pPr>
      <w:bookmarkStart w:id="6" w:name="_Toc520813343"/>
      <w:r>
        <w:t>Assumptions</w:t>
      </w:r>
      <w:bookmarkEnd w:id="6"/>
    </w:p>
    <w:p w:rsidR="00940600" w:rsidRDefault="00940600" w:rsidP="00286CA6">
      <w:r>
        <w:t xml:space="preserve">This model </w:t>
      </w:r>
      <w:r w:rsidR="00DC7144">
        <w:t>depends upon</w:t>
      </w:r>
      <w:r>
        <w:t xml:space="preserve"> the following assumptions:</w:t>
      </w:r>
    </w:p>
    <w:p w:rsidR="00940600" w:rsidRDefault="00940600" w:rsidP="00940600">
      <w:pPr>
        <w:pStyle w:val="ListParagraph"/>
        <w:numPr>
          <w:ilvl w:val="0"/>
          <w:numId w:val="11"/>
        </w:numPr>
      </w:pPr>
      <w:r>
        <w:t>Inflation is equal to the consumer price index, which will be 2.60%, 2.30% and 2.28% in 2018, 2019 and 2020, respectively</w:t>
      </w:r>
      <w:r w:rsidR="0072458A">
        <w:rPr>
          <w:rStyle w:val="EndnoteReference"/>
        </w:rPr>
        <w:endnoteReference w:id="2"/>
      </w:r>
      <w:r>
        <w:t>.</w:t>
      </w:r>
    </w:p>
    <w:p w:rsidR="000F4BBA" w:rsidRDefault="000F4BBA" w:rsidP="00940600">
      <w:pPr>
        <w:pStyle w:val="ListParagraph"/>
        <w:numPr>
          <w:ilvl w:val="0"/>
          <w:numId w:val="11"/>
        </w:numPr>
      </w:pPr>
      <w:r>
        <w:t>This model assumes that California</w:t>
      </w:r>
      <w:r w:rsidR="0072458A">
        <w:t xml:space="preserve"> will see no change in bearing vineyard acreage</w:t>
      </w:r>
      <w:r w:rsidR="0072458A">
        <w:rPr>
          <w:rStyle w:val="EndnoteReference"/>
        </w:rPr>
        <w:endnoteReference w:id="3"/>
      </w:r>
      <w:r w:rsidR="0072458A">
        <w:t>.</w:t>
      </w:r>
    </w:p>
    <w:p w:rsidR="0072458A" w:rsidRDefault="009E4133" w:rsidP="00940600">
      <w:pPr>
        <w:pStyle w:val="ListParagraph"/>
        <w:numPr>
          <w:ilvl w:val="0"/>
          <w:numId w:val="11"/>
        </w:numPr>
      </w:pPr>
      <w:r>
        <w:lastRenderedPageBreak/>
        <w:t>The model assumes that Washington bearing acreage will increase to 48,142, 60,409 and 61,253 in 2018, 2019 and 2020, respectively</w:t>
      </w:r>
      <w:r w:rsidR="002D19B2">
        <w:rPr>
          <w:rStyle w:val="EndnoteReference"/>
        </w:rPr>
        <w:endnoteReference w:id="4"/>
      </w:r>
      <w:r>
        <w:t>.</w:t>
      </w:r>
    </w:p>
    <w:p w:rsidR="00C97284" w:rsidRDefault="00C97284" w:rsidP="00DB5D30">
      <w:pPr>
        <w:pStyle w:val="Heading2"/>
      </w:pPr>
      <w:bookmarkStart w:id="7" w:name="_Toc520813344"/>
      <w:r>
        <w:t>Rule-of-Thumb Adjustments of Assumptions</w:t>
      </w:r>
      <w:bookmarkEnd w:id="7"/>
    </w:p>
    <w:p w:rsidR="00FB7B89" w:rsidRDefault="00FB7B89" w:rsidP="00FB7B89">
      <w:r>
        <w:t xml:space="preserve">If the assumptions above turn out to be wrong, we can </w:t>
      </w:r>
      <w:r w:rsidR="00E66B86">
        <w:t>adjust to</w:t>
      </w:r>
      <w:r>
        <w:t xml:space="preserve"> understand how that might influence the model.</w:t>
      </w:r>
      <w:r w:rsidR="00E66B86">
        <w:t xml:space="preserve">  This also allows us to score the model separately of the assumptions.</w:t>
      </w:r>
      <w:r>
        <w:t xml:space="preserve">  In the case of inflation, one can simply use different inflation adjustments to create a new estimate.  This can be done retroactively, to see what </w:t>
      </w:r>
      <w:r w:rsidR="00E66B86">
        <w:t>the</w:t>
      </w:r>
      <w:r>
        <w:t xml:space="preserve"> forecast would look like had the inflation numbers been correct.  It can also be proactive, in the case that you want to use different estimates of inflation</w:t>
      </w:r>
      <w:r w:rsidR="00C67967">
        <w:t xml:space="preserve"> going forward</w:t>
      </w:r>
      <w:r>
        <w:t>.</w:t>
      </w:r>
    </w:p>
    <w:p w:rsidR="00F42973" w:rsidRPr="00FB7B89" w:rsidRDefault="00522388" w:rsidP="00FB7B89">
      <w:r>
        <w:t xml:space="preserve">If the assumptions regarding acreage are incorrect, this can be adjusted for, too, though not as easily.  </w:t>
      </w:r>
      <w:r w:rsidR="00C67967">
        <w:t xml:space="preserve">Based on the formula used for estimating the forecast, </w:t>
      </w:r>
      <w:r>
        <w:t xml:space="preserve">every </w:t>
      </w:r>
      <w:r w:rsidR="00E66B86">
        <w:t>bearing acre</w:t>
      </w:r>
      <w:r>
        <w:t xml:space="preserve"> </w:t>
      </w:r>
      <w:proofErr w:type="gramStart"/>
      <w:r w:rsidR="00E66B86">
        <w:t>in excess of</w:t>
      </w:r>
      <w:proofErr w:type="gramEnd"/>
      <w:r>
        <w:t xml:space="preserve"> my assumptions should, as a rule of thumb, reduce</w:t>
      </w:r>
      <w:r w:rsidR="00C67967">
        <w:t xml:space="preserve"> the price</w:t>
      </w:r>
      <w:r>
        <w:t xml:space="preserve"> by roughly .024</w:t>
      </w:r>
      <w:r w:rsidR="00E66B86">
        <w:t>¢ and vice-versa.  If, as an example, acreage numbers turn out to be 1,000 acres below the assumed level, the price forecast would be expected to be roughly 24¢ higher.</w:t>
      </w:r>
    </w:p>
    <w:p w:rsidR="00C97284" w:rsidRDefault="00C97284" w:rsidP="00DB5D30">
      <w:pPr>
        <w:pStyle w:val="Heading2"/>
      </w:pPr>
      <w:bookmarkStart w:id="8" w:name="_Discussion_of_Probability"/>
      <w:bookmarkStart w:id="9" w:name="_Toc520813345"/>
      <w:bookmarkEnd w:id="8"/>
      <w:r>
        <w:t>Discussion of Probability Distribution</w:t>
      </w:r>
      <w:bookmarkEnd w:id="9"/>
    </w:p>
    <w:p w:rsidR="00FA4381" w:rsidRDefault="00E66B86" w:rsidP="00FA4381">
      <w:r>
        <w:t>Generally, people want to use forecasts almost exclusively for the point forecast.  Th</w:t>
      </w:r>
      <w:r w:rsidR="00754839">
        <w:t>e point forecast is, roughly speaking,</w:t>
      </w:r>
      <w:r>
        <w:t xml:space="preserve"> the outcome that the forecast predicts as most likely.  This is certainly useful </w:t>
      </w:r>
      <w:proofErr w:type="gramStart"/>
      <w:r>
        <w:t>information, but</w:t>
      </w:r>
      <w:proofErr w:type="gramEnd"/>
      <w:r>
        <w:t xml:space="preserve"> using it in a vacuum is a mis-use of forecasting.  Forecasting is not fortune-telling.  A forecast is always wrong by some amount.  To properly use a forecast,</w:t>
      </w:r>
      <w:r w:rsidR="00E8373D">
        <w:t xml:space="preserve"> you should</w:t>
      </w:r>
      <w:r>
        <w:t xml:space="preserve"> understand the probability distribution (also known as a confidence interval or prediction interval.)</w:t>
      </w:r>
      <w:r w:rsidR="00754839">
        <w:t xml:space="preserve">  This is an estimate of how likely the forecast is to be off, by how much, and in which direction.</w:t>
      </w:r>
    </w:p>
    <w:p w:rsidR="00E8373D" w:rsidRDefault="00E8373D" w:rsidP="00FA4381">
      <w:r>
        <w:t>First, an explanation of the charts and tables above.</w:t>
      </w:r>
      <w:r w:rsidR="00754839">
        <w:t xml:space="preserve">  The bounds are give</w:t>
      </w:r>
      <w:r w:rsidR="00E62352">
        <w:t>n</w:t>
      </w:r>
      <w:r w:rsidR="00754839">
        <w:t xml:space="preserve"> as a number, followed by the words </w:t>
      </w:r>
      <w:r w:rsidR="00E62352">
        <w:t>‘</w:t>
      </w:r>
      <w:r w:rsidR="00754839">
        <w:t>Lower</w:t>
      </w:r>
      <w:r w:rsidR="00E62352">
        <w:t>’</w:t>
      </w:r>
      <w:r w:rsidR="00754839">
        <w:t xml:space="preserve"> or </w:t>
      </w:r>
      <w:r w:rsidR="00E62352">
        <w:t>‘</w:t>
      </w:r>
      <w:r w:rsidR="00754839">
        <w:t>Upper</w:t>
      </w:r>
      <w:r w:rsidR="00E62352">
        <w:t>’</w:t>
      </w:r>
      <w:r w:rsidR="00754839">
        <w:t xml:space="preserve">.  In either case, the number given is the percent chance that the actual outcome will </w:t>
      </w:r>
      <w:r w:rsidR="00AB69C0">
        <w:t>fall</w:t>
      </w:r>
      <w:r w:rsidR="00754839">
        <w:t xml:space="preserve"> below this number.</w:t>
      </w:r>
      <w:r>
        <w:t xml:space="preserve">  The actual outcome is expected to be lower than the 2.5 Lower column figure only 2.5% of the time.  The actual outcome is expected to exceed the 80.0 Upper column figure 20% of the time.  </w:t>
      </w:r>
      <w:r w:rsidR="00AB69C0">
        <w:t xml:space="preserve">This is depicted visually in </w:t>
      </w:r>
      <w:r w:rsidR="00AB69C0">
        <w:fldChar w:fldCharType="begin"/>
      </w:r>
      <w:r w:rsidR="00AB69C0">
        <w:instrText xml:space="preserve"> REF _Ref520745983 \h </w:instrText>
      </w:r>
      <w:r w:rsidR="00AB69C0">
        <w:fldChar w:fldCharType="separate"/>
      </w:r>
      <w:r w:rsidR="00AB69C0">
        <w:t xml:space="preserve">Chart </w:t>
      </w:r>
      <w:r w:rsidR="00AB69C0">
        <w:rPr>
          <w:noProof/>
        </w:rPr>
        <w:t>1</w:t>
      </w:r>
      <w:r w:rsidR="00AB69C0">
        <w:fldChar w:fldCharType="end"/>
      </w:r>
      <w:r w:rsidR="00AB69C0">
        <w:t xml:space="preserve"> and </w:t>
      </w:r>
      <w:r w:rsidR="00AB69C0">
        <w:fldChar w:fldCharType="begin"/>
      </w:r>
      <w:r w:rsidR="00AB69C0">
        <w:instrText xml:space="preserve"> REF _Ref520745988 \h </w:instrText>
      </w:r>
      <w:r w:rsidR="00AB69C0">
        <w:fldChar w:fldCharType="separate"/>
      </w:r>
      <w:r w:rsidR="00AB69C0">
        <w:t xml:space="preserve">Chart </w:t>
      </w:r>
      <w:r w:rsidR="00AB69C0">
        <w:rPr>
          <w:noProof/>
        </w:rPr>
        <w:t>2</w:t>
      </w:r>
      <w:r w:rsidR="00AB69C0">
        <w:fldChar w:fldCharType="end"/>
      </w:r>
      <w:r>
        <w:t>.</w:t>
      </w:r>
    </w:p>
    <w:p w:rsidR="00E8373D" w:rsidRPr="00FA4381" w:rsidRDefault="00E8373D" w:rsidP="00FA4381">
      <w:r>
        <w:t>You can use these numbers to roughly estimate, for instance, the likelihood that prices would adequately cover costs or to understand how likely an indexed contract is to be a better deal than specific, nominal prices.  For clients, I even use these probability distributions to run computerized simulations that can capture the relationship between various aspects of a business, such as multiple variety types, expenses, yields, etc.  Such simulations can provide the most realistic financial forecasts possible.</w:t>
      </w:r>
    </w:p>
    <w:p w:rsidR="00C97284" w:rsidRDefault="00C97284" w:rsidP="00AE2AFD">
      <w:pPr>
        <w:pStyle w:val="Heading2"/>
      </w:pPr>
      <w:bookmarkStart w:id="10" w:name="_Toc520813346"/>
      <w:r>
        <w:t>Strength of Model and Caveats</w:t>
      </w:r>
      <w:bookmarkEnd w:id="10"/>
    </w:p>
    <w:p w:rsidR="004F2F0C" w:rsidRDefault="004F2F0C" w:rsidP="00286CA6">
      <w:r>
        <w:t>As stated earlier, forecasters are not fortune-tellers.  This is a strictly quantitative forecast that integrates no knowledge from the field.  Someone who is buying large amounts of</w:t>
      </w:r>
      <w:r w:rsidR="00AB69C0">
        <w:t xml:space="preserve"> varied</w:t>
      </w:r>
      <w:r>
        <w:t xml:space="preserve"> grapes</w:t>
      </w:r>
      <w:r w:rsidR="00AB69C0">
        <w:t xml:space="preserve"> from diverse sources</w:t>
      </w:r>
      <w:r>
        <w:t xml:space="preserve"> may be a better source of forecasts, at least one year out, if they are also applying quantitative rigor to integrating their knowledge.  In general, however, quantitative forecasts outperform expert judgment.  </w:t>
      </w:r>
    </w:p>
    <w:p w:rsidR="004F2F0C" w:rsidRDefault="004F2F0C" w:rsidP="00286CA6">
      <w:r>
        <w:t>More importantly, quantitative forecasts lack true prescience – they cannot anticipate changes in the world that have no historical precedent.  Since 2008, these have</w:t>
      </w:r>
      <w:r w:rsidR="00041F53">
        <w:t xml:space="preserve"> widely</w:t>
      </w:r>
      <w:r>
        <w:t xml:space="preserve"> come to be known as “black swans,” which you can look up on Wikipedia for more information.  For this reason, I do not produce prediction intervals above the 95% range (corresponding to the probability distribution bounds Lower 2.5 and Higher 97.5).  I simply assume there is a 5% chance of black swans or mistakes shattering the usefulness of a forecast.  I consider this to be a conservative assumption, based on the empirical results of my forecasts.  Still, it is a useful threshold for assumptions about forecasts.</w:t>
      </w:r>
    </w:p>
    <w:p w:rsidR="004F2F0C" w:rsidRDefault="004F2F0C" w:rsidP="00286CA6">
      <w:r>
        <w:lastRenderedPageBreak/>
        <w:t xml:space="preserve">On the other hand, forecasters can do a great job of measuring the accuracy and uncertainty of their forecasts.  For one, I test my forecasts against hold-out data, which is integrated into the probability distribution.  This creates a realistic assessment of </w:t>
      </w:r>
      <w:proofErr w:type="spellStart"/>
      <w:r>
        <w:t>uncertainty</w:t>
      </w:r>
      <w:r w:rsidR="006B5DFF" w:rsidRPr="006B5DFF">
        <w:rPr>
          <w:vertAlign w:val="superscript"/>
        </w:rPr>
        <w:t>vi</w:t>
      </w:r>
      <w:proofErr w:type="spellEnd"/>
      <w:r w:rsidR="006B5DFF">
        <w:t>.</w:t>
      </w:r>
    </w:p>
    <w:p w:rsidR="004F2F0C" w:rsidRDefault="004F2F0C" w:rsidP="00286CA6">
      <w:r>
        <w:t>Often people use historical fit as a measure of uncertainty.  That is, if a model’s error produced an average 5% error during the historical period, they assume that the average error will be 5% going forward.  That is wrong (and either lazy or ignorant.)  In general, future periods do not look exactly like the periods studied and, therefore, models based on history generally have larger future errors than their historical, fitted error.  By using hold-out data, I avoid this issue and accurately estimate future model error.</w:t>
      </w:r>
    </w:p>
    <w:p w:rsidR="004F2F0C" w:rsidRDefault="004F2F0C" w:rsidP="00286CA6">
      <w:r>
        <w:t>On the other hand, within-sample statistics can be useful for understanding a model’s likelihood to be valid.  In some ways, hold-out data is still a better measure of validity, but the within-sample statistics are still useful.  They are presented below, followed by some explanation.</w:t>
      </w:r>
    </w:p>
    <w:p w:rsidR="00B13A24" w:rsidRDefault="00B13A24" w:rsidP="00286CA6">
      <w:r>
        <w:t xml:space="preserve">In addition to the following chart, note that no variables included in the component models had a </w:t>
      </w:r>
      <w:hyperlink r:id="rId12" w:history="1">
        <w:r w:rsidRPr="00B13A24">
          <w:rPr>
            <w:rStyle w:val="Hyperlink"/>
          </w:rPr>
          <w:t>p-value</w:t>
        </w:r>
      </w:hyperlink>
      <w:r>
        <w:t xml:space="preserve"> exceeding 0.003.  In academia, variables are considered significant if their p-value =&lt; .050.  All models were parsimonious, with no more than 3 parameters.  In general, less complex models are superior, as each parameter introduces additional uncertainty and error.  Finally, note that the final forecast relied upon 3 component models and all were built to predict </w:t>
      </w:r>
      <w:r w:rsidR="00041F53">
        <w:t xml:space="preserve">prices </w:t>
      </w:r>
      <w:r>
        <w:t>in constant dollars, which were then adjusted for the nominal forecast.</w:t>
      </w:r>
    </w:p>
    <w:tbl>
      <w:tblPr>
        <w:tblStyle w:val="GridTable2-Accent2"/>
        <w:tblW w:w="10440" w:type="dxa"/>
        <w:tblLook w:val="04A0" w:firstRow="1" w:lastRow="0" w:firstColumn="1" w:lastColumn="0" w:noHBand="0" w:noVBand="1"/>
      </w:tblPr>
      <w:tblGrid>
        <w:gridCol w:w="2160"/>
        <w:gridCol w:w="996"/>
        <w:gridCol w:w="1120"/>
        <w:gridCol w:w="1120"/>
        <w:gridCol w:w="5044"/>
      </w:tblGrid>
      <w:tr w:rsidR="00B13A24" w:rsidRPr="00B13A24" w:rsidTr="00DA745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Pr>
                <w:rFonts w:ascii="Calibri" w:eastAsia="Times New Roman" w:hAnsi="Calibri" w:cs="Times New Roman"/>
                <w:color w:val="000000"/>
              </w:rPr>
              <w:t>Metric</w:t>
            </w:r>
          </w:p>
        </w:tc>
        <w:tc>
          <w:tcPr>
            <w:tcW w:w="996" w:type="dxa"/>
            <w:noWrap/>
            <w:hideMark/>
          </w:tcPr>
          <w:p w:rsidR="00B13A24" w:rsidRPr="00B13A24" w:rsidRDefault="00B13A24" w:rsidP="00B13A2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Model 0</w:t>
            </w:r>
          </w:p>
        </w:tc>
        <w:tc>
          <w:tcPr>
            <w:tcW w:w="1120" w:type="dxa"/>
            <w:noWrap/>
            <w:hideMark/>
          </w:tcPr>
          <w:p w:rsidR="00B13A24" w:rsidRPr="00B13A24" w:rsidRDefault="00B13A24" w:rsidP="00B13A2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Model 4</w:t>
            </w:r>
          </w:p>
        </w:tc>
        <w:tc>
          <w:tcPr>
            <w:tcW w:w="1120" w:type="dxa"/>
            <w:noWrap/>
            <w:hideMark/>
          </w:tcPr>
          <w:p w:rsidR="00B13A24" w:rsidRPr="00B13A24" w:rsidRDefault="00B13A24" w:rsidP="00B13A2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Model 1</w:t>
            </w:r>
          </w:p>
        </w:tc>
        <w:tc>
          <w:tcPr>
            <w:tcW w:w="5044" w:type="dxa"/>
          </w:tcPr>
          <w:p w:rsidR="00B13A24" w:rsidRPr="00B13A24" w:rsidRDefault="00B13A24" w:rsidP="00B13A2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B13A24">
              <w:rPr>
                <w:rFonts w:ascii="Calibri" w:eastAsia="Times New Roman" w:hAnsi="Calibri" w:cs="Times New Roman"/>
                <w:bCs w:val="0"/>
                <w:color w:val="000000"/>
              </w:rPr>
              <w:t>Link</w:t>
            </w:r>
            <w:r>
              <w:rPr>
                <w:rFonts w:ascii="Calibri" w:eastAsia="Times New Roman" w:hAnsi="Calibri" w:cs="Times New Roman"/>
                <w:bCs w:val="0"/>
                <w:color w:val="000000"/>
              </w:rPr>
              <w:t xml:space="preserve"> to Explanation</w:t>
            </w:r>
          </w:p>
        </w:tc>
      </w:tr>
      <w:tr w:rsidR="00B13A24" w:rsidRPr="00B13A24" w:rsidTr="00DA74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Sample size</w:t>
            </w:r>
            <w:r w:rsidRPr="00407527">
              <w:rPr>
                <w:rStyle w:val="EndnoteReference"/>
                <w:rFonts w:ascii="Calibri" w:eastAsia="Times New Roman" w:hAnsi="Calibri" w:cs="Times New Roman"/>
                <w:b w:val="0"/>
                <w:color w:val="000000"/>
              </w:rPr>
              <w:endnoteReference w:id="5"/>
            </w:r>
          </w:p>
        </w:tc>
        <w:tc>
          <w:tcPr>
            <w:tcW w:w="996"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47</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21</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21</w:t>
            </w:r>
          </w:p>
        </w:tc>
        <w:tc>
          <w:tcPr>
            <w:tcW w:w="5044" w:type="dxa"/>
          </w:tcPr>
          <w:p w:rsidR="00B13A24" w:rsidRPr="00772846" w:rsidRDefault="00926F77"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hyperlink r:id="rId13" w:history="1">
              <w:r w:rsidR="00DA7458" w:rsidRPr="00772846">
                <w:rPr>
                  <w:rStyle w:val="Hyperlink"/>
                  <w:rFonts w:ascii="Calibri" w:eastAsia="Times New Roman" w:hAnsi="Calibri" w:cs="Times New Roman"/>
                  <w:sz w:val="16"/>
                  <w:szCs w:val="16"/>
                </w:rPr>
                <w:t>https://en.wikipedia.org/wiki/Sample_size_determination</w:t>
              </w:r>
            </w:hyperlink>
          </w:p>
        </w:tc>
      </w:tr>
      <w:tr w:rsidR="00B13A24" w:rsidRPr="00B13A24" w:rsidTr="00DA745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Mean</w:t>
            </w:r>
          </w:p>
        </w:tc>
        <w:tc>
          <w:tcPr>
            <w:tcW w:w="996"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1,180.57</w:t>
            </w:r>
          </w:p>
        </w:tc>
        <w:tc>
          <w:tcPr>
            <w:tcW w:w="1120"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1,206.23</w:t>
            </w:r>
          </w:p>
        </w:tc>
        <w:tc>
          <w:tcPr>
            <w:tcW w:w="1120"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1,206.23</w:t>
            </w:r>
          </w:p>
        </w:tc>
        <w:tc>
          <w:tcPr>
            <w:tcW w:w="5044" w:type="dxa"/>
          </w:tcPr>
          <w:p w:rsidR="00B13A24" w:rsidRPr="00772846" w:rsidRDefault="00926F77"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hyperlink r:id="rId14" w:history="1">
              <w:r w:rsidR="00772846" w:rsidRPr="00772846">
                <w:rPr>
                  <w:rStyle w:val="Hyperlink"/>
                  <w:rFonts w:ascii="Calibri" w:eastAsia="Times New Roman" w:hAnsi="Calibri" w:cs="Times New Roman"/>
                  <w:sz w:val="16"/>
                  <w:szCs w:val="16"/>
                </w:rPr>
                <w:t>https://en.wikipedia.org/wiki/Mean</w:t>
              </w:r>
            </w:hyperlink>
          </w:p>
        </w:tc>
      </w:tr>
      <w:tr w:rsidR="00B13A24" w:rsidRPr="00B13A24" w:rsidTr="00DA74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Adj. R-square</w:t>
            </w:r>
          </w:p>
        </w:tc>
        <w:tc>
          <w:tcPr>
            <w:tcW w:w="996"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0.54</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0.9</w:t>
            </w:r>
            <w:r>
              <w:rPr>
                <w:rFonts w:ascii="Calibri" w:eastAsia="Times New Roman" w:hAnsi="Calibri" w:cs="Times New Roman"/>
                <w:color w:val="000000"/>
              </w:rPr>
              <w:t>0</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0.9</w:t>
            </w:r>
            <w:r>
              <w:rPr>
                <w:rFonts w:ascii="Calibri" w:eastAsia="Times New Roman" w:hAnsi="Calibri" w:cs="Times New Roman"/>
                <w:color w:val="000000"/>
              </w:rPr>
              <w:t>0</w:t>
            </w:r>
          </w:p>
        </w:tc>
        <w:tc>
          <w:tcPr>
            <w:tcW w:w="5044" w:type="dxa"/>
          </w:tcPr>
          <w:p w:rsidR="00B13A24" w:rsidRPr="00772846" w:rsidRDefault="00926F77"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hyperlink r:id="rId15" w:history="1">
              <w:r w:rsidR="00772846" w:rsidRPr="00772846">
                <w:rPr>
                  <w:rStyle w:val="Hyperlink"/>
                  <w:rFonts w:ascii="Calibri" w:eastAsia="Times New Roman" w:hAnsi="Calibri" w:cs="Times New Roman"/>
                  <w:sz w:val="16"/>
                  <w:szCs w:val="16"/>
                </w:rPr>
                <w:t>https://en.wikipedia.org/wiki/Coefficient_of_determination#Adjusted_R2</w:t>
              </w:r>
            </w:hyperlink>
          </w:p>
        </w:tc>
      </w:tr>
      <w:tr w:rsidR="00B13A24" w:rsidRPr="00B13A24" w:rsidTr="00DA745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Durbin-Watson</w:t>
            </w:r>
          </w:p>
        </w:tc>
        <w:tc>
          <w:tcPr>
            <w:tcW w:w="996"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1.91</w:t>
            </w:r>
          </w:p>
        </w:tc>
        <w:tc>
          <w:tcPr>
            <w:tcW w:w="1120"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2.52</w:t>
            </w:r>
          </w:p>
        </w:tc>
        <w:tc>
          <w:tcPr>
            <w:tcW w:w="1120"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2.58</w:t>
            </w:r>
          </w:p>
        </w:tc>
        <w:tc>
          <w:tcPr>
            <w:tcW w:w="5044" w:type="dxa"/>
          </w:tcPr>
          <w:p w:rsidR="00B13A24" w:rsidRPr="00772846" w:rsidRDefault="00926F77"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hyperlink r:id="rId16" w:history="1">
              <w:r w:rsidR="00772846" w:rsidRPr="00772846">
                <w:rPr>
                  <w:rStyle w:val="Hyperlink"/>
                  <w:rFonts w:ascii="Calibri" w:eastAsia="Times New Roman" w:hAnsi="Calibri" w:cs="Times New Roman"/>
                  <w:sz w:val="16"/>
                  <w:szCs w:val="16"/>
                </w:rPr>
                <w:t>https://en.wikipedia.org/wiki/Durbin%E2%80%93Watson_statistic</w:t>
              </w:r>
            </w:hyperlink>
          </w:p>
        </w:tc>
      </w:tr>
      <w:tr w:rsidR="00B13A24" w:rsidRPr="00B13A24" w:rsidTr="00DA74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Forecast error</w:t>
            </w:r>
          </w:p>
        </w:tc>
        <w:tc>
          <w:tcPr>
            <w:tcW w:w="996"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166.39</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30.07</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29.99</w:t>
            </w:r>
          </w:p>
        </w:tc>
        <w:tc>
          <w:tcPr>
            <w:tcW w:w="5044" w:type="dxa"/>
          </w:tcPr>
          <w:p w:rsidR="00B13A24" w:rsidRPr="00772846" w:rsidRDefault="00926F77"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hyperlink r:id="rId17" w:history="1">
              <w:r w:rsidR="00772846" w:rsidRPr="00772846">
                <w:rPr>
                  <w:rStyle w:val="Hyperlink"/>
                  <w:rFonts w:ascii="Calibri" w:eastAsia="Times New Roman" w:hAnsi="Calibri" w:cs="Times New Roman"/>
                  <w:sz w:val="16"/>
                  <w:szCs w:val="16"/>
                </w:rPr>
                <w:t>https://en.wikipedia.org/wiki/Forecast_error</w:t>
              </w:r>
            </w:hyperlink>
          </w:p>
        </w:tc>
      </w:tr>
      <w:tr w:rsidR="00B13A24" w:rsidRPr="00B13A24" w:rsidTr="00DA745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MAPE</w:t>
            </w:r>
          </w:p>
        </w:tc>
        <w:tc>
          <w:tcPr>
            <w:tcW w:w="996"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9.06%</w:t>
            </w:r>
          </w:p>
        </w:tc>
        <w:tc>
          <w:tcPr>
            <w:tcW w:w="1120"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1.76%</w:t>
            </w:r>
          </w:p>
        </w:tc>
        <w:tc>
          <w:tcPr>
            <w:tcW w:w="1120"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1.74%</w:t>
            </w:r>
          </w:p>
        </w:tc>
        <w:tc>
          <w:tcPr>
            <w:tcW w:w="5044" w:type="dxa"/>
          </w:tcPr>
          <w:p w:rsidR="00B13A24" w:rsidRPr="00772846" w:rsidRDefault="00926F77"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hyperlink r:id="rId18" w:history="1">
              <w:r w:rsidR="00772846" w:rsidRPr="00772846">
                <w:rPr>
                  <w:rStyle w:val="Hyperlink"/>
                  <w:rFonts w:ascii="Calibri" w:eastAsia="Times New Roman" w:hAnsi="Calibri" w:cs="Times New Roman"/>
                  <w:sz w:val="16"/>
                  <w:szCs w:val="16"/>
                </w:rPr>
                <w:t>https://en.wikipedia.org/wiki/Mean_absolute_percentage_error</w:t>
              </w:r>
            </w:hyperlink>
          </w:p>
        </w:tc>
      </w:tr>
      <w:tr w:rsidR="00B13A24" w:rsidRPr="00B13A24" w:rsidTr="00DA74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RMSE</w:t>
            </w:r>
          </w:p>
        </w:tc>
        <w:tc>
          <w:tcPr>
            <w:tcW w:w="996"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164.61</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27.84</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27.77</w:t>
            </w:r>
          </w:p>
        </w:tc>
        <w:tc>
          <w:tcPr>
            <w:tcW w:w="5044" w:type="dxa"/>
          </w:tcPr>
          <w:p w:rsidR="00B13A24" w:rsidRPr="00772846" w:rsidRDefault="00926F77"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hyperlink r:id="rId19" w:history="1">
              <w:r w:rsidR="00772846" w:rsidRPr="00772846">
                <w:rPr>
                  <w:rStyle w:val="Hyperlink"/>
                  <w:rFonts w:ascii="Calibri" w:eastAsia="Times New Roman" w:hAnsi="Calibri" w:cs="Times New Roman"/>
                  <w:sz w:val="16"/>
                  <w:szCs w:val="16"/>
                </w:rPr>
                <w:t>https://en.wikipedia.org/wiki/Root-mean-square_deviation</w:t>
              </w:r>
            </w:hyperlink>
          </w:p>
        </w:tc>
      </w:tr>
      <w:tr w:rsidR="00B13A24" w:rsidRPr="00B13A24" w:rsidTr="00DA745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MAD/Mean Ratio</w:t>
            </w:r>
          </w:p>
        </w:tc>
        <w:tc>
          <w:tcPr>
            <w:tcW w:w="996"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0.09</w:t>
            </w:r>
          </w:p>
        </w:tc>
        <w:tc>
          <w:tcPr>
            <w:tcW w:w="1120"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0.02</w:t>
            </w:r>
          </w:p>
        </w:tc>
        <w:tc>
          <w:tcPr>
            <w:tcW w:w="1120"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0.02</w:t>
            </w:r>
          </w:p>
        </w:tc>
        <w:tc>
          <w:tcPr>
            <w:tcW w:w="5044" w:type="dxa"/>
          </w:tcPr>
          <w:p w:rsidR="00B13A24" w:rsidRPr="00772846" w:rsidRDefault="00772846"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r>
              <w:rPr>
                <w:rFonts w:ascii="Calibri" w:eastAsia="Times New Roman" w:hAnsi="Calibri" w:cs="Times New Roman"/>
                <w:color w:val="000000"/>
                <w:sz w:val="16"/>
                <w:szCs w:val="16"/>
              </w:rPr>
              <w:t>MAD (see below), divided by mean, used for scaling purposes</w:t>
            </w:r>
          </w:p>
        </w:tc>
      </w:tr>
      <w:tr w:rsidR="00B13A24" w:rsidRPr="00B13A24" w:rsidTr="00DA74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Std. deviation</w:t>
            </w:r>
          </w:p>
        </w:tc>
        <w:tc>
          <w:tcPr>
            <w:tcW w:w="996"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245.75</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96.53</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96.53</w:t>
            </w:r>
          </w:p>
        </w:tc>
        <w:tc>
          <w:tcPr>
            <w:tcW w:w="5044" w:type="dxa"/>
          </w:tcPr>
          <w:p w:rsidR="00B13A24" w:rsidRPr="00772846" w:rsidRDefault="00926F77"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hyperlink r:id="rId20" w:history="1">
              <w:r w:rsidR="00772846" w:rsidRPr="00772846">
                <w:rPr>
                  <w:rStyle w:val="Hyperlink"/>
                  <w:rFonts w:ascii="Calibri" w:eastAsia="Times New Roman" w:hAnsi="Calibri" w:cs="Times New Roman"/>
                  <w:sz w:val="16"/>
                  <w:szCs w:val="16"/>
                </w:rPr>
                <w:t>https://en.wikipedia.org/wiki/Standard_deviation</w:t>
              </w:r>
            </w:hyperlink>
          </w:p>
        </w:tc>
      </w:tr>
      <w:tr w:rsidR="00B13A24" w:rsidRPr="00B13A24" w:rsidTr="00407527">
        <w:trPr>
          <w:trHeight w:val="300"/>
        </w:trPr>
        <w:tc>
          <w:tcPr>
            <w:cnfStyle w:val="001000000000" w:firstRow="0" w:lastRow="0" w:firstColumn="1" w:lastColumn="0" w:oddVBand="0" w:evenVBand="0" w:oddHBand="0" w:evenHBand="0" w:firstRowFirstColumn="0" w:firstRowLastColumn="0" w:lastRowFirstColumn="0" w:lastRowLastColumn="0"/>
            <w:tcW w:w="2160" w:type="dxa"/>
            <w:noWrap/>
            <w:vAlign w:val="center"/>
            <w:hideMark/>
          </w:tcPr>
          <w:p w:rsidR="00B13A24" w:rsidRPr="00B13A24" w:rsidRDefault="00B13A24" w:rsidP="00407527">
            <w:pPr>
              <w:rPr>
                <w:rFonts w:ascii="Calibri" w:eastAsia="Times New Roman" w:hAnsi="Calibri" w:cs="Times New Roman"/>
                <w:color w:val="000000"/>
              </w:rPr>
            </w:pPr>
            <w:proofErr w:type="spellStart"/>
            <w:r w:rsidRPr="00B13A24">
              <w:rPr>
                <w:rFonts w:ascii="Calibri" w:eastAsia="Times New Roman" w:hAnsi="Calibri" w:cs="Times New Roman"/>
                <w:color w:val="000000"/>
              </w:rPr>
              <w:t>Ljung</w:t>
            </w:r>
            <w:proofErr w:type="spellEnd"/>
            <w:r w:rsidRPr="00B13A24">
              <w:rPr>
                <w:rFonts w:ascii="Calibri" w:eastAsia="Times New Roman" w:hAnsi="Calibri" w:cs="Times New Roman"/>
                <w:color w:val="000000"/>
              </w:rPr>
              <w:t>-</w:t>
            </w:r>
            <w:proofErr w:type="gramStart"/>
            <w:r w:rsidRPr="00B13A24">
              <w:rPr>
                <w:rFonts w:ascii="Calibri" w:eastAsia="Times New Roman" w:hAnsi="Calibri" w:cs="Times New Roman"/>
                <w:color w:val="000000"/>
              </w:rPr>
              <w:t>Box(</w:t>
            </w:r>
            <w:proofErr w:type="gramEnd"/>
            <w:r w:rsidRPr="00B13A24">
              <w:rPr>
                <w:rFonts w:ascii="Calibri" w:eastAsia="Times New Roman" w:hAnsi="Calibri" w:cs="Times New Roman"/>
                <w:color w:val="000000"/>
              </w:rPr>
              <w:t>18)</w:t>
            </w:r>
          </w:p>
        </w:tc>
        <w:tc>
          <w:tcPr>
            <w:tcW w:w="996" w:type="dxa"/>
            <w:noWrap/>
            <w:hideMark/>
          </w:tcPr>
          <w:p w:rsidR="00B13A24" w:rsidRPr="00B13A24" w:rsidRDefault="00B13A24" w:rsidP="00B13A2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22.6 P=0.79</w:t>
            </w:r>
          </w:p>
        </w:tc>
        <w:tc>
          <w:tcPr>
            <w:tcW w:w="1120" w:type="dxa"/>
            <w:noWrap/>
            <w:hideMark/>
          </w:tcPr>
          <w:p w:rsidR="00B13A24" w:rsidRPr="00B13A24" w:rsidRDefault="00B13A24" w:rsidP="00B13A2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17.0 P=0.80</w:t>
            </w:r>
          </w:p>
        </w:tc>
        <w:tc>
          <w:tcPr>
            <w:tcW w:w="1120" w:type="dxa"/>
            <w:noWrap/>
            <w:hideMark/>
          </w:tcPr>
          <w:p w:rsidR="00B13A24" w:rsidRPr="00B13A24" w:rsidRDefault="00B13A24" w:rsidP="00B13A2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17.5 P=0.82</w:t>
            </w:r>
          </w:p>
        </w:tc>
        <w:tc>
          <w:tcPr>
            <w:tcW w:w="5044" w:type="dxa"/>
          </w:tcPr>
          <w:p w:rsidR="00B13A24" w:rsidRPr="00772846" w:rsidRDefault="00926F77" w:rsidP="0077284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hyperlink r:id="rId21" w:history="1">
              <w:r w:rsidR="00772846" w:rsidRPr="00772846">
                <w:rPr>
                  <w:rStyle w:val="Hyperlink"/>
                  <w:rFonts w:ascii="Calibri" w:eastAsia="Times New Roman" w:hAnsi="Calibri" w:cs="Times New Roman"/>
                  <w:sz w:val="16"/>
                  <w:szCs w:val="16"/>
                </w:rPr>
                <w:t>https://en.wikipedia.org/wiki/Ljung%E2%80%93Box_test</w:t>
              </w:r>
            </w:hyperlink>
          </w:p>
        </w:tc>
      </w:tr>
      <w:tr w:rsidR="00B13A24" w:rsidRPr="00B13A24" w:rsidTr="00DA74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BIC</w:t>
            </w:r>
          </w:p>
        </w:tc>
        <w:tc>
          <w:tcPr>
            <w:tcW w:w="996"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171.49</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34.6</w:t>
            </w:r>
          </w:p>
        </w:tc>
        <w:tc>
          <w:tcPr>
            <w:tcW w:w="1120" w:type="dxa"/>
            <w:noWrap/>
            <w:hideMark/>
          </w:tcPr>
          <w:p w:rsidR="00B13A24" w:rsidRPr="00B13A24" w:rsidRDefault="00B13A24"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34.52</w:t>
            </w:r>
          </w:p>
        </w:tc>
        <w:tc>
          <w:tcPr>
            <w:tcW w:w="5044" w:type="dxa"/>
          </w:tcPr>
          <w:p w:rsidR="00B13A24" w:rsidRPr="00772846" w:rsidRDefault="00926F77" w:rsidP="00B13A24">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6"/>
                <w:szCs w:val="16"/>
              </w:rPr>
            </w:pPr>
            <w:hyperlink r:id="rId22" w:history="1">
              <w:r w:rsidR="00772846" w:rsidRPr="00772846">
                <w:rPr>
                  <w:rStyle w:val="Hyperlink"/>
                  <w:rFonts w:ascii="Calibri" w:eastAsia="Times New Roman" w:hAnsi="Calibri" w:cs="Times New Roman"/>
                  <w:sz w:val="16"/>
                  <w:szCs w:val="16"/>
                </w:rPr>
                <w:t>https://en.wikipedia.org/wiki/Bayesian_information_criterion</w:t>
              </w:r>
            </w:hyperlink>
          </w:p>
        </w:tc>
      </w:tr>
      <w:tr w:rsidR="00B13A24" w:rsidRPr="00B13A24" w:rsidTr="00DA7458">
        <w:trPr>
          <w:trHeight w:val="300"/>
        </w:trPr>
        <w:tc>
          <w:tcPr>
            <w:cnfStyle w:val="001000000000" w:firstRow="0" w:lastRow="0" w:firstColumn="1" w:lastColumn="0" w:oddVBand="0" w:evenVBand="0" w:oddHBand="0" w:evenHBand="0" w:firstRowFirstColumn="0" w:firstRowLastColumn="0" w:lastRowFirstColumn="0" w:lastRowLastColumn="0"/>
            <w:tcW w:w="2160" w:type="dxa"/>
            <w:noWrap/>
            <w:hideMark/>
          </w:tcPr>
          <w:p w:rsidR="00B13A24" w:rsidRPr="00B13A24" w:rsidRDefault="00B13A24" w:rsidP="00B13A24">
            <w:pPr>
              <w:rPr>
                <w:rFonts w:ascii="Calibri" w:eastAsia="Times New Roman" w:hAnsi="Calibri" w:cs="Times New Roman"/>
                <w:color w:val="000000"/>
              </w:rPr>
            </w:pPr>
            <w:r w:rsidRPr="00B13A24">
              <w:rPr>
                <w:rFonts w:ascii="Calibri" w:eastAsia="Times New Roman" w:hAnsi="Calibri" w:cs="Times New Roman"/>
                <w:color w:val="000000"/>
              </w:rPr>
              <w:t>MAD</w:t>
            </w:r>
          </w:p>
        </w:tc>
        <w:tc>
          <w:tcPr>
            <w:tcW w:w="996"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105.51</w:t>
            </w:r>
          </w:p>
        </w:tc>
        <w:tc>
          <w:tcPr>
            <w:tcW w:w="1120" w:type="dxa"/>
            <w:noWrap/>
            <w:hideMark/>
          </w:tcPr>
          <w:p w:rsidR="00B13A24" w:rsidRPr="00B13A24" w:rsidRDefault="00B13A24" w:rsidP="00B13A24">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20.61</w:t>
            </w:r>
          </w:p>
        </w:tc>
        <w:tc>
          <w:tcPr>
            <w:tcW w:w="1120" w:type="dxa"/>
            <w:noWrap/>
            <w:hideMark/>
          </w:tcPr>
          <w:p w:rsidR="00B13A24" w:rsidRPr="00B13A24" w:rsidRDefault="00B13A24" w:rsidP="00B13A24">
            <w:pPr>
              <w:keepNext/>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13A24">
              <w:rPr>
                <w:rFonts w:ascii="Calibri" w:eastAsia="Times New Roman" w:hAnsi="Calibri" w:cs="Times New Roman"/>
                <w:color w:val="000000"/>
              </w:rPr>
              <w:t>20.34</w:t>
            </w:r>
          </w:p>
        </w:tc>
        <w:tc>
          <w:tcPr>
            <w:tcW w:w="5044" w:type="dxa"/>
          </w:tcPr>
          <w:p w:rsidR="00B13A24" w:rsidRPr="00772846" w:rsidRDefault="00926F77" w:rsidP="00B13A24">
            <w:pPr>
              <w:keepNext/>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16"/>
                <w:szCs w:val="16"/>
              </w:rPr>
            </w:pPr>
            <w:hyperlink r:id="rId23" w:history="1">
              <w:r w:rsidR="00772846" w:rsidRPr="00772846">
                <w:rPr>
                  <w:rStyle w:val="Hyperlink"/>
                  <w:rFonts w:ascii="Calibri" w:eastAsia="Times New Roman" w:hAnsi="Calibri" w:cs="Times New Roman"/>
                  <w:sz w:val="16"/>
                  <w:szCs w:val="16"/>
                </w:rPr>
                <w:t>https://en.wikipedia.org/wiki/Average_absolute_deviation</w:t>
              </w:r>
            </w:hyperlink>
          </w:p>
        </w:tc>
      </w:tr>
    </w:tbl>
    <w:p w:rsidR="00B13A24" w:rsidRDefault="00B13A24">
      <w:pPr>
        <w:pStyle w:val="Caption"/>
      </w:pPr>
      <w:r>
        <w:t xml:space="preserve">Table </w:t>
      </w:r>
      <w:r w:rsidR="00926F77">
        <w:fldChar w:fldCharType="begin"/>
      </w:r>
      <w:r w:rsidR="00926F77">
        <w:instrText xml:space="preserve"> SEQ Table \* ARABIC </w:instrText>
      </w:r>
      <w:r w:rsidR="00926F77">
        <w:fldChar w:fldCharType="separate"/>
      </w:r>
      <w:r w:rsidR="00E76219">
        <w:rPr>
          <w:noProof/>
        </w:rPr>
        <w:t>3</w:t>
      </w:r>
      <w:r w:rsidR="00926F77">
        <w:rPr>
          <w:noProof/>
        </w:rPr>
        <w:fldChar w:fldCharType="end"/>
      </w:r>
      <w:r>
        <w:t>: Within-Sample Statistics for Component Models</w:t>
      </w:r>
    </w:p>
    <w:p w:rsidR="00933835" w:rsidRDefault="00933835" w:rsidP="00AE2AFD">
      <w:pPr>
        <w:pStyle w:val="Heading1"/>
      </w:pPr>
      <w:bookmarkStart w:id="11" w:name="_Toc520813347"/>
      <w:r>
        <w:t>Discussion</w:t>
      </w:r>
      <w:bookmarkEnd w:id="11"/>
    </w:p>
    <w:p w:rsidR="008447D5" w:rsidRPr="008447D5" w:rsidRDefault="00407527" w:rsidP="008447D5">
      <w:r>
        <w:t xml:space="preserve">Though the forecast indicates a slight rise in nominal prices, it also indicates that this will happen at a slower rate than inflation.  Washington growers can expect to see some very slight compression of margins.  This likelihood, however, is not </w:t>
      </w:r>
      <w:r w:rsidR="007645B7">
        <w:t>much greater than a coin flip</w:t>
      </w:r>
      <w:r>
        <w:t xml:space="preserve">, as </w:t>
      </w:r>
      <w:r w:rsidR="00297028">
        <w:t>one might assume after viewing</w:t>
      </w:r>
      <w:r>
        <w:t xml:space="preserve"> </w:t>
      </w:r>
      <w:r>
        <w:fldChar w:fldCharType="begin"/>
      </w:r>
      <w:r>
        <w:instrText xml:space="preserve"> REF _Ref520745983 \h </w:instrText>
      </w:r>
      <w:r>
        <w:fldChar w:fldCharType="separate"/>
      </w:r>
      <w:r>
        <w:t xml:space="preserve">Chart </w:t>
      </w:r>
      <w:r>
        <w:rPr>
          <w:noProof/>
        </w:rPr>
        <w:t>1</w:t>
      </w:r>
      <w:r>
        <w:fldChar w:fldCharType="end"/>
      </w:r>
      <w:r>
        <w:t xml:space="preserve"> and </w:t>
      </w:r>
      <w:r>
        <w:fldChar w:fldCharType="begin"/>
      </w:r>
      <w:r>
        <w:instrText xml:space="preserve"> REF _Ref520745988 \h </w:instrText>
      </w:r>
      <w:r>
        <w:fldChar w:fldCharType="separate"/>
      </w:r>
      <w:r>
        <w:t xml:space="preserve">Chart </w:t>
      </w:r>
      <w:r>
        <w:rPr>
          <w:noProof/>
        </w:rPr>
        <w:t>2</w:t>
      </w:r>
      <w:r>
        <w:fldChar w:fldCharType="end"/>
      </w:r>
      <w:r>
        <w:t xml:space="preserve">.  Essentially, the forecast is </w:t>
      </w:r>
      <w:proofErr w:type="gramStart"/>
      <w:r>
        <w:t>flat</w:t>
      </w:r>
      <w:proofErr w:type="gramEnd"/>
      <w:r>
        <w:t xml:space="preserve"> and prices are not expected to move a great deal.  For this reason, I would recommend that growers pay attention to the probability distribution: what are the chances that prices hit certain highs or lows?</w:t>
      </w:r>
    </w:p>
    <w:p w:rsidR="00407527" w:rsidRDefault="007645B7" w:rsidP="00407527">
      <w:r>
        <w:t xml:space="preserve">As shown in </w:t>
      </w:r>
      <w:r>
        <w:fldChar w:fldCharType="begin"/>
      </w:r>
      <w:r>
        <w:instrText xml:space="preserve"> REF _Ref520746557 \h </w:instrText>
      </w:r>
      <w:r>
        <w:fldChar w:fldCharType="separate"/>
      </w:r>
      <w:r>
        <w:t xml:space="preserve">Chart </w:t>
      </w:r>
      <w:r>
        <w:rPr>
          <w:noProof/>
        </w:rPr>
        <w:t>3</w:t>
      </w:r>
      <w:r>
        <w:fldChar w:fldCharType="end"/>
      </w:r>
      <w:r>
        <w:t>, Washington’s wine grapes saw a great deal of fluctuation in its earlier history.  For the past 10-20 years, however, inflation-adjusted prices have been far more stable, through periods of recession and of great volatility in the California wine grape market.  The forecast presented indicates that this stability will continue.  Recent, minor gains, however, will probably be reversed.</w:t>
      </w:r>
    </w:p>
    <w:p w:rsidR="007645B7" w:rsidRDefault="007645B7" w:rsidP="00407527">
      <w:r>
        <w:lastRenderedPageBreak/>
        <w:t>In my experience, this pattern is typical of regions where grape prices are cost-driven.  In regions where price is dictated by willingness to pay, like Sonoma County or Napa Valley, prices can shift rapidly to adjust to the market.  In regions like Washington, where producers – most notably Altria, in this case – largely control the market, prices are dictated more by what budget a grower needs to continue to produce.  Producers capture a great deal of the economic profit, while growers fight to maintain their narrow margins.  Whether or not this is the case in Washington, I certainly cannot say for sure, as I have no front-line experience in the region.  What I can say for sure is that, even if my theory is broadly correct, it applies only to the market in aggregate, and not to any specific operation.</w:t>
      </w:r>
    </w:p>
    <w:p w:rsidR="00AE2AFD" w:rsidRDefault="00AE2AFD" w:rsidP="00407527">
      <w:r>
        <w:t xml:space="preserve">I often add in scenario analysis to my forecasts.  Lately, I have been looking into alternate scenarios that consider recessions at various points in the next several years, (touched upon in </w:t>
      </w:r>
      <w:hyperlink r:id="rId24" w:history="1">
        <w:r w:rsidRPr="00AE2AFD">
          <w:rPr>
            <w:rStyle w:val="Hyperlink"/>
          </w:rPr>
          <w:t>this blog post</w:t>
        </w:r>
      </w:hyperlink>
      <w:r>
        <w:t>.)  I chose not to do so for this case.  For one, that requires additional work.  More importantly, as a region where grape price is (a) cost-driven and (b) offers great value, Washington should only see prices dip in a recession if the whole US wine market implodes</w:t>
      </w:r>
      <w:r w:rsidR="00B44CF5">
        <w:t xml:space="preserve"> or experiences a major, unanticipated shift</w:t>
      </w:r>
      <w:r>
        <w:t xml:space="preserve">.  You can look at </w:t>
      </w:r>
      <w:r>
        <w:fldChar w:fldCharType="begin"/>
      </w:r>
      <w:r>
        <w:instrText xml:space="preserve"> REF _Ref520746557 \h </w:instrText>
      </w:r>
      <w:r>
        <w:fldChar w:fldCharType="separate"/>
      </w:r>
      <w:r>
        <w:t xml:space="preserve">Chart </w:t>
      </w:r>
      <w:r>
        <w:rPr>
          <w:noProof/>
        </w:rPr>
        <w:t>3</w:t>
      </w:r>
      <w:r>
        <w:fldChar w:fldCharType="end"/>
      </w:r>
      <w:r>
        <w:t xml:space="preserve"> and see that prices held quite steady during the Great Recession.  I would guess that growers had little room to give and the price point for the wines these grapes are going into offered good value to premium wine drinkers who needed to spend less on each bottle.</w:t>
      </w:r>
    </w:p>
    <w:p w:rsidR="00407527" w:rsidRDefault="00407527">
      <w:r>
        <w:br w:type="page"/>
      </w:r>
    </w:p>
    <w:p w:rsidR="00407527" w:rsidRDefault="00407527" w:rsidP="00407527">
      <w:pPr>
        <w:sectPr w:rsidR="00407527" w:rsidSect="00185AE3">
          <w:headerReference w:type="default" r:id="rId25"/>
          <w:pgSz w:w="12240" w:h="15840"/>
          <w:pgMar w:top="720" w:right="720" w:bottom="720" w:left="720" w:header="720" w:footer="720" w:gutter="0"/>
          <w:cols w:space="720"/>
          <w:docGrid w:linePitch="360"/>
        </w:sectPr>
      </w:pPr>
    </w:p>
    <w:p w:rsidR="00407527" w:rsidRDefault="00407527" w:rsidP="00407527"/>
    <w:p w:rsidR="007645B7" w:rsidRDefault="007645B7" w:rsidP="007645B7">
      <w:pPr>
        <w:pStyle w:val="Caption"/>
        <w:keepNext/>
      </w:pPr>
      <w:bookmarkStart w:id="12" w:name="_Ref520746557"/>
      <w:r>
        <w:t xml:space="preserve">Chart </w:t>
      </w:r>
      <w:r w:rsidR="00926F77">
        <w:fldChar w:fldCharType="begin"/>
      </w:r>
      <w:r w:rsidR="00926F77">
        <w:instrText xml:space="preserve"> SEQ Chart \* ARABIC </w:instrText>
      </w:r>
      <w:r w:rsidR="00926F77">
        <w:fldChar w:fldCharType="separate"/>
      </w:r>
      <w:r>
        <w:rPr>
          <w:noProof/>
        </w:rPr>
        <w:t>3</w:t>
      </w:r>
      <w:r w:rsidR="00926F77">
        <w:rPr>
          <w:noProof/>
        </w:rPr>
        <w:fldChar w:fldCharType="end"/>
      </w:r>
      <w:bookmarkEnd w:id="12"/>
      <w:r>
        <w:t>: Historical Prices, Inflation-Adjusted, Washington Wine Grapes, All Varieties</w:t>
      </w:r>
    </w:p>
    <w:p w:rsidR="00407527" w:rsidRDefault="00407527" w:rsidP="00407527">
      <w:r>
        <w:rPr>
          <w:noProof/>
        </w:rPr>
        <w:drawing>
          <wp:inline distT="0" distB="0" distL="0" distR="0">
            <wp:extent cx="9366885" cy="34385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72152" cy="3440458"/>
                    </a:xfrm>
                    <a:prstGeom prst="rect">
                      <a:avLst/>
                    </a:prstGeom>
                    <a:noFill/>
                    <a:ln>
                      <a:noFill/>
                    </a:ln>
                  </pic:spPr>
                </pic:pic>
              </a:graphicData>
            </a:graphic>
          </wp:inline>
        </w:drawing>
      </w:r>
    </w:p>
    <w:p w:rsidR="00407527" w:rsidRDefault="001340B5" w:rsidP="00407527">
      <w:pPr>
        <w:sectPr w:rsidR="00407527" w:rsidSect="00407527">
          <w:pgSz w:w="15840" w:h="12240" w:orient="landscape" w:code="1"/>
          <w:pgMar w:top="720" w:right="720" w:bottom="720" w:left="720" w:header="720" w:footer="720" w:gutter="0"/>
          <w:cols w:space="720"/>
          <w:docGrid w:linePitch="360"/>
        </w:sectPr>
      </w:pPr>
      <w:r>
        <w:br w:type="page"/>
      </w:r>
    </w:p>
    <w:p w:rsidR="00C97284" w:rsidRDefault="00C97284" w:rsidP="00AE2AFD">
      <w:pPr>
        <w:pStyle w:val="Heading1"/>
      </w:pPr>
      <w:bookmarkStart w:id="13" w:name="_Component_Models"/>
      <w:bookmarkStart w:id="14" w:name="_Toc520813348"/>
      <w:bookmarkEnd w:id="13"/>
      <w:r>
        <w:lastRenderedPageBreak/>
        <w:t>Component Models</w:t>
      </w:r>
      <w:bookmarkEnd w:id="14"/>
    </w:p>
    <w:p w:rsidR="009D5CA1" w:rsidRDefault="002469D2" w:rsidP="009D5CA1">
      <w:r>
        <w:t xml:space="preserve">In addition </w:t>
      </w:r>
      <w:r w:rsidR="005D3D4F">
        <w:t>to tracking the final forecast</w:t>
      </w:r>
      <w:r>
        <w:t>, I also track the component forecast</w:t>
      </w:r>
      <w:r w:rsidR="005D3D4F">
        <w:t>s</w:t>
      </w:r>
      <w:r>
        <w:t>.  In most cases, my</w:t>
      </w:r>
      <w:r w:rsidR="005D3D4F">
        <w:t xml:space="preserve"> final</w:t>
      </w:r>
      <w:r>
        <w:t xml:space="preserve"> forecasts include multiple models. In this case, three models are included.</w:t>
      </w:r>
      <w:r w:rsidR="00C302F2">
        <w:t xml:space="preserve">  Tracking the component forecasts allows greater</w:t>
      </w:r>
      <w:r w:rsidR="003E7C0D">
        <w:t xml:space="preserve"> model</w:t>
      </w:r>
      <w:r w:rsidR="00C302F2">
        <w:t xml:space="preserve"> improvement over time, as the components’ importance can be properly weighted to increase forecasting accuracy.</w:t>
      </w:r>
    </w:p>
    <w:p w:rsidR="002469D2" w:rsidRDefault="002469D2" w:rsidP="009D5CA1">
      <w:r>
        <w:rPr>
          <w:b/>
        </w:rPr>
        <w:t>Model 0</w:t>
      </w:r>
      <w:r w:rsidR="00C302F2">
        <w:t xml:space="preserve"> is by far the weakest model included, per the within-sample statistics</w:t>
      </w:r>
      <w:r w:rsidR="005D3D4F">
        <w:t>, although hold-out testing results were excellent</w:t>
      </w:r>
      <w:r w:rsidR="005D3D4F">
        <w:rPr>
          <w:rStyle w:val="EndnoteReference"/>
        </w:rPr>
        <w:endnoteReference w:id="6"/>
      </w:r>
      <w:r w:rsidR="00C302F2">
        <w:t xml:space="preserve">.  The forecast for this model </w:t>
      </w:r>
      <w:proofErr w:type="gramStart"/>
      <w:r w:rsidR="00C302F2">
        <w:t>actually went</w:t>
      </w:r>
      <w:proofErr w:type="gramEnd"/>
      <w:r w:rsidR="00C302F2">
        <w:t xml:space="preserve"> 7 years out, though I only used the first three years of that forecast.  Despite the relative weakness of the model, I decided to include it for various reasons.  For one, the method was significantly different and simpler than the other included models.  More importantly, it relied </w:t>
      </w:r>
      <w:proofErr w:type="gramStart"/>
      <w:r w:rsidR="00C302F2">
        <w:t>on the whole</w:t>
      </w:r>
      <w:proofErr w:type="gramEnd"/>
      <w:r w:rsidR="00C302F2">
        <w:t xml:space="preserve"> available history of data, while the other two models only used the last 21 years.  See the forecast results in</w:t>
      </w:r>
      <w:r w:rsidR="001C2F1A">
        <w:t xml:space="preserve"> </w:t>
      </w:r>
      <w:r w:rsidR="001C2F1A">
        <w:fldChar w:fldCharType="begin"/>
      </w:r>
      <w:r w:rsidR="001C2F1A">
        <w:instrText xml:space="preserve"> REF _Ref520781707 \h </w:instrText>
      </w:r>
      <w:r w:rsidR="001C2F1A">
        <w:fldChar w:fldCharType="separate"/>
      </w:r>
      <w:r w:rsidR="001C2F1A">
        <w:t xml:space="preserve">Table </w:t>
      </w:r>
      <w:r w:rsidR="001C2F1A">
        <w:rPr>
          <w:noProof/>
        </w:rPr>
        <w:t>4</w:t>
      </w:r>
      <w:r w:rsidR="001C2F1A">
        <w:fldChar w:fldCharType="end"/>
      </w:r>
      <w:r w:rsidR="001C2F1A">
        <w:t>.</w:t>
      </w:r>
      <w:r w:rsidR="00820B4F">
        <w:t xml:space="preserve">  </w:t>
      </w:r>
      <w:r w:rsidR="00F32A7F">
        <w:t>Furthermore</w:t>
      </w:r>
      <w:r w:rsidR="00820B4F">
        <w:t>, the accurate hold-out testing results also justified inclusion of the model.</w:t>
      </w:r>
    </w:p>
    <w:tbl>
      <w:tblPr>
        <w:tblStyle w:val="GridTable2-Accent2"/>
        <w:tblW w:w="2100" w:type="dxa"/>
        <w:tblLook w:val="04A0" w:firstRow="1" w:lastRow="0" w:firstColumn="1" w:lastColumn="0" w:noHBand="0" w:noVBand="1"/>
      </w:tblPr>
      <w:tblGrid>
        <w:gridCol w:w="880"/>
        <w:gridCol w:w="1220"/>
      </w:tblGrid>
      <w:tr w:rsidR="00C302F2" w:rsidRPr="00C302F2" w:rsidTr="00C302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C302F2" w:rsidRPr="00C302F2" w:rsidRDefault="00C302F2" w:rsidP="00C302F2">
            <w:pPr>
              <w:jc w:val="center"/>
              <w:rPr>
                <w:rFonts w:ascii="Calibri" w:eastAsia="Times New Roman" w:hAnsi="Calibri" w:cs="Times New Roman"/>
                <w:color w:val="000000"/>
              </w:rPr>
            </w:pPr>
            <w:r w:rsidRPr="00C302F2">
              <w:rPr>
                <w:rFonts w:ascii="Calibri" w:eastAsia="Times New Roman" w:hAnsi="Calibri" w:cs="Times New Roman"/>
                <w:color w:val="000000"/>
              </w:rPr>
              <w:t>Year</w:t>
            </w:r>
          </w:p>
        </w:tc>
        <w:tc>
          <w:tcPr>
            <w:tcW w:w="1220" w:type="dxa"/>
            <w:noWrap/>
            <w:hideMark/>
          </w:tcPr>
          <w:p w:rsidR="00C302F2" w:rsidRPr="00C302F2" w:rsidRDefault="00C302F2" w:rsidP="00C302F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02F2">
              <w:rPr>
                <w:rFonts w:ascii="Calibri" w:eastAsia="Times New Roman" w:hAnsi="Calibri" w:cs="Times New Roman"/>
                <w:color w:val="000000"/>
              </w:rPr>
              <w:t>Forecast</w:t>
            </w:r>
          </w:p>
        </w:tc>
      </w:tr>
      <w:tr w:rsidR="00C302F2" w:rsidRPr="00C302F2" w:rsidTr="00C302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C302F2" w:rsidRPr="00C302F2" w:rsidRDefault="00C302F2" w:rsidP="00C302F2">
            <w:pPr>
              <w:jc w:val="center"/>
              <w:rPr>
                <w:rFonts w:ascii="Calibri" w:eastAsia="Times New Roman" w:hAnsi="Calibri" w:cs="Times New Roman"/>
                <w:color w:val="000000"/>
              </w:rPr>
            </w:pPr>
            <w:r w:rsidRPr="00C302F2">
              <w:rPr>
                <w:rFonts w:ascii="Calibri" w:eastAsia="Times New Roman" w:hAnsi="Calibri" w:cs="Times New Roman"/>
                <w:color w:val="000000"/>
              </w:rPr>
              <w:t>2018</w:t>
            </w:r>
          </w:p>
        </w:tc>
        <w:tc>
          <w:tcPr>
            <w:tcW w:w="1220" w:type="dxa"/>
            <w:noWrap/>
            <w:hideMark/>
          </w:tcPr>
          <w:p w:rsidR="00C302F2" w:rsidRPr="00C302F2" w:rsidRDefault="00C302F2" w:rsidP="00C302F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02F2">
              <w:rPr>
                <w:rFonts w:ascii="Calibri" w:eastAsia="Times New Roman" w:hAnsi="Calibri" w:cs="Times New Roman"/>
                <w:color w:val="000000"/>
              </w:rPr>
              <w:t xml:space="preserve">$1,193.79 </w:t>
            </w:r>
          </w:p>
        </w:tc>
      </w:tr>
      <w:tr w:rsidR="00C302F2" w:rsidRPr="00C302F2" w:rsidTr="00C302F2">
        <w:trPr>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C302F2" w:rsidRPr="00C302F2" w:rsidRDefault="00C302F2" w:rsidP="00C302F2">
            <w:pPr>
              <w:jc w:val="center"/>
              <w:rPr>
                <w:rFonts w:ascii="Calibri" w:eastAsia="Times New Roman" w:hAnsi="Calibri" w:cs="Times New Roman"/>
                <w:color w:val="000000"/>
              </w:rPr>
            </w:pPr>
            <w:r w:rsidRPr="00C302F2">
              <w:rPr>
                <w:rFonts w:ascii="Calibri" w:eastAsia="Times New Roman" w:hAnsi="Calibri" w:cs="Times New Roman"/>
                <w:color w:val="000000"/>
              </w:rPr>
              <w:t>2019</w:t>
            </w:r>
          </w:p>
        </w:tc>
        <w:tc>
          <w:tcPr>
            <w:tcW w:w="1220" w:type="dxa"/>
            <w:noWrap/>
            <w:hideMark/>
          </w:tcPr>
          <w:p w:rsidR="00C302F2" w:rsidRPr="00C302F2" w:rsidRDefault="00C302F2" w:rsidP="00C302F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02F2">
              <w:rPr>
                <w:rFonts w:ascii="Calibri" w:eastAsia="Times New Roman" w:hAnsi="Calibri" w:cs="Times New Roman"/>
                <w:color w:val="000000"/>
              </w:rPr>
              <w:t xml:space="preserve">$1,190.60 </w:t>
            </w:r>
          </w:p>
        </w:tc>
      </w:tr>
      <w:tr w:rsidR="00C302F2" w:rsidRPr="00C302F2" w:rsidTr="00C302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C302F2" w:rsidRPr="00C302F2" w:rsidRDefault="00C302F2" w:rsidP="00C302F2">
            <w:pPr>
              <w:jc w:val="center"/>
              <w:rPr>
                <w:rFonts w:ascii="Calibri" w:eastAsia="Times New Roman" w:hAnsi="Calibri" w:cs="Times New Roman"/>
                <w:color w:val="000000"/>
              </w:rPr>
            </w:pPr>
            <w:r w:rsidRPr="00C302F2">
              <w:rPr>
                <w:rFonts w:ascii="Calibri" w:eastAsia="Times New Roman" w:hAnsi="Calibri" w:cs="Times New Roman"/>
                <w:color w:val="000000"/>
              </w:rPr>
              <w:t>2020</w:t>
            </w:r>
          </w:p>
        </w:tc>
        <w:tc>
          <w:tcPr>
            <w:tcW w:w="1220" w:type="dxa"/>
            <w:noWrap/>
            <w:hideMark/>
          </w:tcPr>
          <w:p w:rsidR="00C302F2" w:rsidRPr="00C302F2" w:rsidRDefault="00C302F2" w:rsidP="00C302F2">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02F2">
              <w:rPr>
                <w:rFonts w:ascii="Calibri" w:eastAsia="Times New Roman" w:hAnsi="Calibri" w:cs="Times New Roman"/>
                <w:color w:val="000000"/>
              </w:rPr>
              <w:t xml:space="preserve">$1,188.18 </w:t>
            </w:r>
          </w:p>
        </w:tc>
      </w:tr>
    </w:tbl>
    <w:p w:rsidR="00C302F2" w:rsidRDefault="00C302F2" w:rsidP="00C302F2">
      <w:pPr>
        <w:pStyle w:val="Caption"/>
      </w:pPr>
      <w:bookmarkStart w:id="15" w:name="_Ref520781707"/>
      <w:r>
        <w:t xml:space="preserve">Table </w:t>
      </w:r>
      <w:r w:rsidR="00926F77">
        <w:fldChar w:fldCharType="begin"/>
      </w:r>
      <w:r w:rsidR="00926F77">
        <w:instrText xml:space="preserve"> SEQ Table \* ARABIC </w:instrText>
      </w:r>
      <w:r w:rsidR="00926F77">
        <w:fldChar w:fldCharType="separate"/>
      </w:r>
      <w:r w:rsidR="00E76219">
        <w:rPr>
          <w:noProof/>
        </w:rPr>
        <w:t>4</w:t>
      </w:r>
      <w:r w:rsidR="00926F77">
        <w:rPr>
          <w:noProof/>
        </w:rPr>
        <w:fldChar w:fldCharType="end"/>
      </w:r>
      <w:bookmarkEnd w:id="15"/>
      <w:r>
        <w:t>: Model 0 Results</w:t>
      </w:r>
    </w:p>
    <w:p w:rsidR="00C302F2" w:rsidRDefault="00C302F2" w:rsidP="009D5CA1">
      <w:r>
        <w:rPr>
          <w:b/>
        </w:rPr>
        <w:t xml:space="preserve">Model 1 </w:t>
      </w:r>
      <w:r>
        <w:t xml:space="preserve">and </w:t>
      </w:r>
      <w:r>
        <w:rPr>
          <w:b/>
        </w:rPr>
        <w:t xml:space="preserve">Model 4 </w:t>
      </w:r>
      <w:r>
        <w:t xml:space="preserve">are similar in that they each have three parameters, of which they share </w:t>
      </w:r>
      <w:r w:rsidR="003E7C0D">
        <w:t>two</w:t>
      </w:r>
      <w:r>
        <w:t xml:space="preserve">.  </w:t>
      </w:r>
      <w:r w:rsidR="003546F8">
        <w:t>These models have very similar coefficients for t</w:t>
      </w:r>
      <w:r>
        <w:t xml:space="preserve">hose shared parameters.  </w:t>
      </w:r>
      <w:r w:rsidR="001C2F1A">
        <w:t xml:space="preserve">Both show highly promising within-sample statistics and hold-out testing results.  See the forecast results in </w:t>
      </w:r>
      <w:r w:rsidR="001C2F1A">
        <w:fldChar w:fldCharType="begin"/>
      </w:r>
      <w:r w:rsidR="001C2F1A">
        <w:instrText xml:space="preserve"> REF _Ref520781803 \h </w:instrText>
      </w:r>
      <w:r w:rsidR="001C2F1A">
        <w:fldChar w:fldCharType="separate"/>
      </w:r>
      <w:r w:rsidR="001C2F1A">
        <w:t xml:space="preserve">Table </w:t>
      </w:r>
      <w:r w:rsidR="001C2F1A">
        <w:rPr>
          <w:noProof/>
        </w:rPr>
        <w:t>5</w:t>
      </w:r>
      <w:r w:rsidR="001C2F1A">
        <w:fldChar w:fldCharType="end"/>
      </w:r>
      <w:r w:rsidR="001C2F1A">
        <w:t xml:space="preserve"> and </w:t>
      </w:r>
      <w:r w:rsidR="001C2F1A">
        <w:fldChar w:fldCharType="begin"/>
      </w:r>
      <w:r w:rsidR="001C2F1A">
        <w:instrText xml:space="preserve"> REF _Ref520781811 \h </w:instrText>
      </w:r>
      <w:r w:rsidR="001C2F1A">
        <w:fldChar w:fldCharType="separate"/>
      </w:r>
      <w:r w:rsidR="001C2F1A">
        <w:t xml:space="preserve">Table </w:t>
      </w:r>
      <w:r w:rsidR="001C2F1A">
        <w:rPr>
          <w:noProof/>
        </w:rPr>
        <w:t>6</w:t>
      </w:r>
      <w:r w:rsidR="001C2F1A">
        <w:fldChar w:fldCharType="end"/>
      </w:r>
      <w:r w:rsidR="001C2F1A">
        <w:t>.</w:t>
      </w:r>
    </w:p>
    <w:tbl>
      <w:tblPr>
        <w:tblStyle w:val="GridTable2-Accent2"/>
        <w:tblW w:w="2100" w:type="dxa"/>
        <w:tblLook w:val="04A0" w:firstRow="1" w:lastRow="0" w:firstColumn="1" w:lastColumn="0" w:noHBand="0" w:noVBand="1"/>
      </w:tblPr>
      <w:tblGrid>
        <w:gridCol w:w="880"/>
        <w:gridCol w:w="1220"/>
      </w:tblGrid>
      <w:tr w:rsidR="001C2F1A" w:rsidRPr="001C2F1A" w:rsidTr="001C2F1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1C2F1A" w:rsidRPr="001C2F1A" w:rsidRDefault="001C2F1A" w:rsidP="001C2F1A">
            <w:pPr>
              <w:jc w:val="center"/>
              <w:rPr>
                <w:rFonts w:ascii="Calibri" w:eastAsia="Times New Roman" w:hAnsi="Calibri" w:cs="Times New Roman"/>
                <w:color w:val="000000"/>
              </w:rPr>
            </w:pPr>
            <w:r w:rsidRPr="001C2F1A">
              <w:rPr>
                <w:rFonts w:ascii="Calibri" w:eastAsia="Times New Roman" w:hAnsi="Calibri" w:cs="Times New Roman"/>
                <w:color w:val="000000"/>
              </w:rPr>
              <w:t>Date</w:t>
            </w:r>
          </w:p>
        </w:tc>
        <w:tc>
          <w:tcPr>
            <w:tcW w:w="1220" w:type="dxa"/>
            <w:noWrap/>
            <w:hideMark/>
          </w:tcPr>
          <w:p w:rsidR="001C2F1A" w:rsidRPr="001C2F1A" w:rsidRDefault="001C2F1A" w:rsidP="001C2F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C2F1A">
              <w:rPr>
                <w:rFonts w:ascii="Calibri" w:eastAsia="Times New Roman" w:hAnsi="Calibri" w:cs="Times New Roman"/>
                <w:color w:val="000000"/>
              </w:rPr>
              <w:t>Forecast</w:t>
            </w:r>
          </w:p>
        </w:tc>
      </w:tr>
      <w:tr w:rsidR="001C2F1A" w:rsidRPr="001C2F1A" w:rsidTr="001C2F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1C2F1A" w:rsidRPr="001C2F1A" w:rsidRDefault="001C2F1A" w:rsidP="001C2F1A">
            <w:pPr>
              <w:jc w:val="center"/>
              <w:rPr>
                <w:rFonts w:ascii="Calibri" w:eastAsia="Times New Roman" w:hAnsi="Calibri" w:cs="Times New Roman"/>
                <w:color w:val="000000"/>
              </w:rPr>
            </w:pPr>
            <w:r w:rsidRPr="001C2F1A">
              <w:rPr>
                <w:rFonts w:ascii="Calibri" w:eastAsia="Times New Roman" w:hAnsi="Calibri" w:cs="Times New Roman"/>
                <w:color w:val="000000"/>
              </w:rPr>
              <w:t>2018</w:t>
            </w:r>
          </w:p>
        </w:tc>
        <w:tc>
          <w:tcPr>
            <w:tcW w:w="1220" w:type="dxa"/>
            <w:noWrap/>
            <w:hideMark/>
          </w:tcPr>
          <w:p w:rsidR="001C2F1A" w:rsidRPr="001C2F1A" w:rsidRDefault="001C2F1A" w:rsidP="001C2F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C2F1A">
              <w:rPr>
                <w:rFonts w:ascii="Calibri" w:eastAsia="Times New Roman" w:hAnsi="Calibri" w:cs="Times New Roman"/>
                <w:color w:val="000000"/>
              </w:rPr>
              <w:t xml:space="preserve">$1,170.00 </w:t>
            </w:r>
          </w:p>
        </w:tc>
      </w:tr>
      <w:tr w:rsidR="001C2F1A" w:rsidRPr="001C2F1A" w:rsidTr="001C2F1A">
        <w:trPr>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1C2F1A" w:rsidRPr="001C2F1A" w:rsidRDefault="001C2F1A" w:rsidP="001C2F1A">
            <w:pPr>
              <w:jc w:val="center"/>
              <w:rPr>
                <w:rFonts w:ascii="Calibri" w:eastAsia="Times New Roman" w:hAnsi="Calibri" w:cs="Times New Roman"/>
                <w:color w:val="000000"/>
              </w:rPr>
            </w:pPr>
            <w:r w:rsidRPr="001C2F1A">
              <w:rPr>
                <w:rFonts w:ascii="Calibri" w:eastAsia="Times New Roman" w:hAnsi="Calibri" w:cs="Times New Roman"/>
                <w:color w:val="000000"/>
              </w:rPr>
              <w:t>2019</w:t>
            </w:r>
          </w:p>
        </w:tc>
        <w:tc>
          <w:tcPr>
            <w:tcW w:w="1220" w:type="dxa"/>
            <w:noWrap/>
            <w:hideMark/>
          </w:tcPr>
          <w:p w:rsidR="001C2F1A" w:rsidRPr="001C2F1A" w:rsidRDefault="001C2F1A" w:rsidP="001C2F1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C2F1A">
              <w:rPr>
                <w:rFonts w:ascii="Calibri" w:eastAsia="Times New Roman" w:hAnsi="Calibri" w:cs="Times New Roman"/>
                <w:color w:val="000000"/>
              </w:rPr>
              <w:t xml:space="preserve">$1,155.00 </w:t>
            </w:r>
          </w:p>
        </w:tc>
      </w:tr>
      <w:tr w:rsidR="001C2F1A" w:rsidRPr="001C2F1A" w:rsidTr="001C2F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1C2F1A" w:rsidRPr="001C2F1A" w:rsidRDefault="001C2F1A" w:rsidP="001C2F1A">
            <w:pPr>
              <w:jc w:val="center"/>
              <w:rPr>
                <w:rFonts w:ascii="Calibri" w:eastAsia="Times New Roman" w:hAnsi="Calibri" w:cs="Times New Roman"/>
                <w:color w:val="000000"/>
              </w:rPr>
            </w:pPr>
            <w:r w:rsidRPr="001C2F1A">
              <w:rPr>
                <w:rFonts w:ascii="Calibri" w:eastAsia="Times New Roman" w:hAnsi="Calibri" w:cs="Times New Roman"/>
                <w:color w:val="000000"/>
              </w:rPr>
              <w:t>2020</w:t>
            </w:r>
          </w:p>
        </w:tc>
        <w:tc>
          <w:tcPr>
            <w:tcW w:w="1220" w:type="dxa"/>
            <w:noWrap/>
            <w:hideMark/>
          </w:tcPr>
          <w:p w:rsidR="001C2F1A" w:rsidRPr="001C2F1A" w:rsidRDefault="001C2F1A" w:rsidP="001C2F1A">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C2F1A">
              <w:rPr>
                <w:rFonts w:ascii="Calibri" w:eastAsia="Times New Roman" w:hAnsi="Calibri" w:cs="Times New Roman"/>
                <w:color w:val="000000"/>
              </w:rPr>
              <w:t xml:space="preserve">$1,147.00 </w:t>
            </w:r>
          </w:p>
        </w:tc>
      </w:tr>
    </w:tbl>
    <w:p w:rsidR="001C2F1A" w:rsidRDefault="001C2F1A" w:rsidP="001C2F1A">
      <w:pPr>
        <w:pStyle w:val="Caption"/>
      </w:pPr>
      <w:bookmarkStart w:id="16" w:name="_Ref520781803"/>
      <w:r>
        <w:t xml:space="preserve">Table </w:t>
      </w:r>
      <w:r w:rsidR="00926F77">
        <w:fldChar w:fldCharType="begin"/>
      </w:r>
      <w:r w:rsidR="00926F77">
        <w:instrText xml:space="preserve"> SEQ Table \* ARABIC </w:instrText>
      </w:r>
      <w:r w:rsidR="00926F77">
        <w:fldChar w:fldCharType="separate"/>
      </w:r>
      <w:r w:rsidR="00E76219">
        <w:rPr>
          <w:noProof/>
        </w:rPr>
        <w:t>5</w:t>
      </w:r>
      <w:r w:rsidR="00926F77">
        <w:rPr>
          <w:noProof/>
        </w:rPr>
        <w:fldChar w:fldCharType="end"/>
      </w:r>
      <w:bookmarkEnd w:id="16"/>
      <w:r>
        <w:t>: Model 1 Results</w:t>
      </w:r>
    </w:p>
    <w:tbl>
      <w:tblPr>
        <w:tblStyle w:val="GridTable2-Accent2"/>
        <w:tblW w:w="2100" w:type="dxa"/>
        <w:tblLook w:val="04A0" w:firstRow="1" w:lastRow="0" w:firstColumn="1" w:lastColumn="0" w:noHBand="0" w:noVBand="1"/>
      </w:tblPr>
      <w:tblGrid>
        <w:gridCol w:w="880"/>
        <w:gridCol w:w="1220"/>
      </w:tblGrid>
      <w:tr w:rsidR="001C2F1A" w:rsidRPr="001C2F1A" w:rsidTr="001C2F1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1C2F1A" w:rsidRPr="001C2F1A" w:rsidRDefault="001C2F1A" w:rsidP="001C2F1A">
            <w:pPr>
              <w:jc w:val="center"/>
              <w:rPr>
                <w:rFonts w:ascii="Calibri" w:eastAsia="Times New Roman" w:hAnsi="Calibri" w:cs="Times New Roman"/>
                <w:color w:val="000000"/>
              </w:rPr>
            </w:pPr>
            <w:r w:rsidRPr="001C2F1A">
              <w:rPr>
                <w:rFonts w:ascii="Calibri" w:eastAsia="Times New Roman" w:hAnsi="Calibri" w:cs="Times New Roman"/>
                <w:color w:val="000000"/>
              </w:rPr>
              <w:t>Date</w:t>
            </w:r>
          </w:p>
        </w:tc>
        <w:tc>
          <w:tcPr>
            <w:tcW w:w="1220" w:type="dxa"/>
            <w:noWrap/>
            <w:hideMark/>
          </w:tcPr>
          <w:p w:rsidR="001C2F1A" w:rsidRPr="001C2F1A" w:rsidRDefault="001C2F1A" w:rsidP="001C2F1A">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C2F1A">
              <w:rPr>
                <w:rFonts w:ascii="Calibri" w:eastAsia="Times New Roman" w:hAnsi="Calibri" w:cs="Times New Roman"/>
                <w:color w:val="000000"/>
              </w:rPr>
              <w:t>Forecast</w:t>
            </w:r>
          </w:p>
        </w:tc>
      </w:tr>
      <w:tr w:rsidR="001C2F1A" w:rsidRPr="001C2F1A" w:rsidTr="001C2F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1C2F1A" w:rsidRPr="001C2F1A" w:rsidRDefault="001C2F1A" w:rsidP="001C2F1A">
            <w:pPr>
              <w:jc w:val="center"/>
              <w:rPr>
                <w:rFonts w:ascii="Calibri" w:eastAsia="Times New Roman" w:hAnsi="Calibri" w:cs="Times New Roman"/>
                <w:color w:val="000000"/>
              </w:rPr>
            </w:pPr>
            <w:r w:rsidRPr="001C2F1A">
              <w:rPr>
                <w:rFonts w:ascii="Calibri" w:eastAsia="Times New Roman" w:hAnsi="Calibri" w:cs="Times New Roman"/>
                <w:color w:val="000000"/>
              </w:rPr>
              <w:t>2018</w:t>
            </w:r>
          </w:p>
        </w:tc>
        <w:tc>
          <w:tcPr>
            <w:tcW w:w="1220" w:type="dxa"/>
            <w:noWrap/>
            <w:hideMark/>
          </w:tcPr>
          <w:p w:rsidR="001C2F1A" w:rsidRPr="001C2F1A" w:rsidRDefault="001C2F1A" w:rsidP="001C2F1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C2F1A">
              <w:rPr>
                <w:rFonts w:ascii="Calibri" w:eastAsia="Times New Roman" w:hAnsi="Calibri" w:cs="Times New Roman"/>
                <w:color w:val="000000"/>
              </w:rPr>
              <w:t xml:space="preserve">$1,166.00 </w:t>
            </w:r>
          </w:p>
        </w:tc>
      </w:tr>
      <w:tr w:rsidR="001C2F1A" w:rsidRPr="001C2F1A" w:rsidTr="001C2F1A">
        <w:trPr>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1C2F1A" w:rsidRPr="001C2F1A" w:rsidRDefault="001C2F1A" w:rsidP="001C2F1A">
            <w:pPr>
              <w:jc w:val="center"/>
              <w:rPr>
                <w:rFonts w:ascii="Calibri" w:eastAsia="Times New Roman" w:hAnsi="Calibri" w:cs="Times New Roman"/>
                <w:color w:val="000000"/>
              </w:rPr>
            </w:pPr>
            <w:r w:rsidRPr="001C2F1A">
              <w:rPr>
                <w:rFonts w:ascii="Calibri" w:eastAsia="Times New Roman" w:hAnsi="Calibri" w:cs="Times New Roman"/>
                <w:color w:val="000000"/>
              </w:rPr>
              <w:t>2019</w:t>
            </w:r>
          </w:p>
        </w:tc>
        <w:tc>
          <w:tcPr>
            <w:tcW w:w="1220" w:type="dxa"/>
            <w:noWrap/>
            <w:hideMark/>
          </w:tcPr>
          <w:p w:rsidR="001C2F1A" w:rsidRPr="001C2F1A" w:rsidRDefault="001C2F1A" w:rsidP="001C2F1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C2F1A">
              <w:rPr>
                <w:rFonts w:ascii="Calibri" w:eastAsia="Times New Roman" w:hAnsi="Calibri" w:cs="Times New Roman"/>
                <w:color w:val="000000"/>
              </w:rPr>
              <w:t xml:space="preserve">$1,150.00 </w:t>
            </w:r>
          </w:p>
        </w:tc>
      </w:tr>
      <w:tr w:rsidR="001C2F1A" w:rsidRPr="001C2F1A" w:rsidTr="001C2F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0" w:type="dxa"/>
            <w:noWrap/>
            <w:hideMark/>
          </w:tcPr>
          <w:p w:rsidR="001C2F1A" w:rsidRPr="001C2F1A" w:rsidRDefault="001C2F1A" w:rsidP="001C2F1A">
            <w:pPr>
              <w:jc w:val="center"/>
              <w:rPr>
                <w:rFonts w:ascii="Calibri" w:eastAsia="Times New Roman" w:hAnsi="Calibri" w:cs="Times New Roman"/>
                <w:color w:val="000000"/>
              </w:rPr>
            </w:pPr>
            <w:r w:rsidRPr="001C2F1A">
              <w:rPr>
                <w:rFonts w:ascii="Calibri" w:eastAsia="Times New Roman" w:hAnsi="Calibri" w:cs="Times New Roman"/>
                <w:color w:val="000000"/>
              </w:rPr>
              <w:t>2020</w:t>
            </w:r>
          </w:p>
        </w:tc>
        <w:tc>
          <w:tcPr>
            <w:tcW w:w="1220" w:type="dxa"/>
            <w:noWrap/>
            <w:hideMark/>
          </w:tcPr>
          <w:p w:rsidR="001C2F1A" w:rsidRPr="001C2F1A" w:rsidRDefault="001C2F1A" w:rsidP="001C2F1A">
            <w:pPr>
              <w:keepNext/>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C2F1A">
              <w:rPr>
                <w:rFonts w:ascii="Calibri" w:eastAsia="Times New Roman" w:hAnsi="Calibri" w:cs="Times New Roman"/>
                <w:color w:val="000000"/>
              </w:rPr>
              <w:t xml:space="preserve">$1,140.00 </w:t>
            </w:r>
          </w:p>
        </w:tc>
      </w:tr>
    </w:tbl>
    <w:p w:rsidR="001C2F1A" w:rsidRPr="00C302F2" w:rsidRDefault="001C2F1A" w:rsidP="001C2F1A">
      <w:pPr>
        <w:pStyle w:val="Caption"/>
      </w:pPr>
      <w:bookmarkStart w:id="17" w:name="_Ref520781811"/>
      <w:r>
        <w:t xml:space="preserve">Table </w:t>
      </w:r>
      <w:r w:rsidR="00926F77">
        <w:fldChar w:fldCharType="begin"/>
      </w:r>
      <w:r w:rsidR="00926F77">
        <w:instrText xml:space="preserve"> SEQ Table \* ARABIC </w:instrText>
      </w:r>
      <w:r w:rsidR="00926F77">
        <w:fldChar w:fldCharType="separate"/>
      </w:r>
      <w:r w:rsidR="00E76219">
        <w:rPr>
          <w:noProof/>
        </w:rPr>
        <w:t>6</w:t>
      </w:r>
      <w:r w:rsidR="00926F77">
        <w:rPr>
          <w:noProof/>
        </w:rPr>
        <w:fldChar w:fldCharType="end"/>
      </w:r>
      <w:bookmarkEnd w:id="17"/>
      <w:r>
        <w:t>: Model 4 Results</w:t>
      </w:r>
    </w:p>
    <w:p w:rsidR="00C97284" w:rsidRDefault="00C97284" w:rsidP="00AE2AFD">
      <w:pPr>
        <w:pStyle w:val="Heading1"/>
      </w:pPr>
      <w:bookmarkStart w:id="18" w:name="_Benchmark_Models"/>
      <w:bookmarkStart w:id="19" w:name="_Toc520813349"/>
      <w:bookmarkEnd w:id="18"/>
      <w:r>
        <w:t>Benchmark Models</w:t>
      </w:r>
      <w:bookmarkEnd w:id="19"/>
    </w:p>
    <w:p w:rsidR="003E7C0D" w:rsidRDefault="00EF7C26" w:rsidP="003E7C0D">
      <w:r>
        <w:t xml:space="preserve">I have included benchmark models that rely upon very simple forecasting methods.  These models can be used as a scalable metric for the usefulness of the forecast.  If any one of these models consistently outperforms my forecast, it would call into question the usefulness of the forecast for Washington wine grapes.  Note that, simply due to the number of benchmark models, at least one is likely to outperform the forecast in any given year, simply </w:t>
      </w:r>
      <w:proofErr w:type="gramStart"/>
      <w:r>
        <w:t>as a result of</w:t>
      </w:r>
      <w:proofErr w:type="gramEnd"/>
      <w:r>
        <w:t xml:space="preserve"> randomness.</w:t>
      </w:r>
      <w:r w:rsidR="00C70E59">
        <w:t xml:space="preserve">  In this case, a benchmark model outperforming the primary model is not unrealistic, since inflation-adjusted price looks to be nearly static.  In such a case, this model may serve only to confirm the</w:t>
      </w:r>
      <w:r w:rsidR="001D70F8">
        <w:t xml:space="preserve"> validity of very simple models.  On the other hand, since this forecast uses explanatory variables it should likely anticipate shifts in the market that the very simple models cannot.</w:t>
      </w:r>
    </w:p>
    <w:tbl>
      <w:tblPr>
        <w:tblStyle w:val="GridTable2-Accent2"/>
        <w:tblW w:w="1640" w:type="dxa"/>
        <w:tblLook w:val="04A0" w:firstRow="1" w:lastRow="0" w:firstColumn="1" w:lastColumn="0" w:noHBand="0" w:noVBand="1"/>
      </w:tblPr>
      <w:tblGrid>
        <w:gridCol w:w="663"/>
        <w:gridCol w:w="1107"/>
      </w:tblGrid>
      <w:tr w:rsidR="00EF7C26" w:rsidRPr="00EF7C26" w:rsidTr="00EF7C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rsidR="00EF7C26" w:rsidRPr="00EF7C26" w:rsidRDefault="00EF7C26" w:rsidP="00EF7C26">
            <w:pPr>
              <w:keepNext/>
              <w:rPr>
                <w:rFonts w:ascii="Calibri" w:eastAsia="Times New Roman" w:hAnsi="Calibri" w:cs="Times New Roman"/>
                <w:color w:val="000000"/>
              </w:rPr>
            </w:pPr>
            <w:r w:rsidRPr="00EF7C26">
              <w:rPr>
                <w:rFonts w:ascii="Calibri" w:eastAsia="Times New Roman" w:hAnsi="Calibri" w:cs="Times New Roman"/>
                <w:color w:val="000000"/>
              </w:rPr>
              <w:lastRenderedPageBreak/>
              <w:t>Year</w:t>
            </w:r>
          </w:p>
        </w:tc>
        <w:tc>
          <w:tcPr>
            <w:tcW w:w="1100" w:type="dxa"/>
            <w:noWrap/>
            <w:hideMark/>
          </w:tcPr>
          <w:p w:rsidR="00EF7C26" w:rsidRPr="00EF7C26" w:rsidRDefault="00EF7C26" w:rsidP="00EF7C26">
            <w:pPr>
              <w:keepNex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Forecast</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rsidR="00EF7C26" w:rsidRPr="00EF7C26" w:rsidRDefault="00EF7C26" w:rsidP="00EF7C26">
            <w:pPr>
              <w:keepNext/>
              <w:jc w:val="right"/>
              <w:rPr>
                <w:rFonts w:ascii="Calibri" w:eastAsia="Times New Roman" w:hAnsi="Calibri" w:cs="Times New Roman"/>
                <w:color w:val="000000"/>
              </w:rPr>
            </w:pPr>
            <w:r w:rsidRPr="00EF7C26">
              <w:rPr>
                <w:rFonts w:ascii="Calibri" w:eastAsia="Times New Roman" w:hAnsi="Calibri" w:cs="Times New Roman"/>
                <w:color w:val="000000"/>
              </w:rPr>
              <w:t>2018</w:t>
            </w:r>
          </w:p>
        </w:tc>
        <w:tc>
          <w:tcPr>
            <w:tcW w:w="1100" w:type="dxa"/>
            <w:noWrap/>
            <w:hideMark/>
          </w:tcPr>
          <w:p w:rsidR="00EF7C26" w:rsidRPr="00EF7C26" w:rsidRDefault="00EF7C26" w:rsidP="00EF7C26">
            <w:pPr>
              <w:keepNext/>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$1,198.00 </w:t>
            </w:r>
          </w:p>
        </w:tc>
      </w:tr>
      <w:tr w:rsidR="00EF7C26" w:rsidRPr="00EF7C26" w:rsidTr="00EF7C26">
        <w:trPr>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rsidR="00EF7C26" w:rsidRPr="00EF7C26" w:rsidRDefault="00EF7C26" w:rsidP="00EF7C26">
            <w:pPr>
              <w:keepNext/>
              <w:jc w:val="right"/>
              <w:rPr>
                <w:rFonts w:ascii="Calibri" w:eastAsia="Times New Roman" w:hAnsi="Calibri" w:cs="Times New Roman"/>
                <w:color w:val="000000"/>
              </w:rPr>
            </w:pPr>
            <w:r w:rsidRPr="00EF7C26">
              <w:rPr>
                <w:rFonts w:ascii="Calibri" w:eastAsia="Times New Roman" w:hAnsi="Calibri" w:cs="Times New Roman"/>
                <w:color w:val="000000"/>
              </w:rPr>
              <w:t>2019</w:t>
            </w:r>
          </w:p>
        </w:tc>
        <w:tc>
          <w:tcPr>
            <w:tcW w:w="1100" w:type="dxa"/>
            <w:noWrap/>
            <w:hideMark/>
          </w:tcPr>
          <w:p w:rsidR="00EF7C26" w:rsidRPr="00EF7C26" w:rsidRDefault="00EF7C26" w:rsidP="00EF7C26">
            <w:pPr>
              <w:keepNext/>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$1,198.00 </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rsidR="00EF7C26" w:rsidRPr="00EF7C26" w:rsidRDefault="00EF7C26" w:rsidP="00EF7C26">
            <w:pPr>
              <w:keepNext/>
              <w:jc w:val="right"/>
              <w:rPr>
                <w:rFonts w:ascii="Calibri" w:eastAsia="Times New Roman" w:hAnsi="Calibri" w:cs="Times New Roman"/>
                <w:color w:val="000000"/>
              </w:rPr>
            </w:pPr>
            <w:r w:rsidRPr="00EF7C26">
              <w:rPr>
                <w:rFonts w:ascii="Calibri" w:eastAsia="Times New Roman" w:hAnsi="Calibri" w:cs="Times New Roman"/>
                <w:color w:val="000000"/>
              </w:rPr>
              <w:t>2020</w:t>
            </w:r>
          </w:p>
        </w:tc>
        <w:tc>
          <w:tcPr>
            <w:tcW w:w="1100" w:type="dxa"/>
            <w:noWrap/>
            <w:hideMark/>
          </w:tcPr>
          <w:p w:rsidR="00EF7C26" w:rsidRPr="00EF7C26" w:rsidRDefault="00EF7C26" w:rsidP="00EF7C26">
            <w:pPr>
              <w:keepNext/>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$1,198.00 </w:t>
            </w:r>
          </w:p>
        </w:tc>
      </w:tr>
    </w:tbl>
    <w:p w:rsidR="00EF7C26" w:rsidRDefault="00EF7C26" w:rsidP="00EF7C26">
      <w:pPr>
        <w:pStyle w:val="Caption"/>
        <w:keepNext/>
      </w:pPr>
      <w:r>
        <w:t xml:space="preserve">Table </w:t>
      </w:r>
      <w:r w:rsidR="00926F77">
        <w:fldChar w:fldCharType="begin"/>
      </w:r>
      <w:r w:rsidR="00926F77">
        <w:instrText xml:space="preserve"> SEQ Table \* ARABIC </w:instrText>
      </w:r>
      <w:r w:rsidR="00926F77">
        <w:fldChar w:fldCharType="separate"/>
      </w:r>
      <w:r w:rsidR="00E76219">
        <w:rPr>
          <w:noProof/>
        </w:rPr>
        <w:t>7</w:t>
      </w:r>
      <w:r w:rsidR="00926F77">
        <w:rPr>
          <w:noProof/>
        </w:rPr>
        <w:fldChar w:fldCharType="end"/>
      </w:r>
      <w:r>
        <w:t>: Exponential Smoothing Model, No Seasonality, No Trend</w:t>
      </w:r>
      <w:r>
        <w:rPr>
          <w:rStyle w:val="EndnoteReference"/>
        </w:rPr>
        <w:endnoteReference w:id="7"/>
      </w:r>
    </w:p>
    <w:tbl>
      <w:tblPr>
        <w:tblStyle w:val="GridTable2-Accent2"/>
        <w:tblW w:w="2000" w:type="dxa"/>
        <w:tblLook w:val="04A0" w:firstRow="1" w:lastRow="0" w:firstColumn="1" w:lastColumn="0" w:noHBand="0" w:noVBand="1"/>
      </w:tblPr>
      <w:tblGrid>
        <w:gridCol w:w="960"/>
        <w:gridCol w:w="1107"/>
      </w:tblGrid>
      <w:tr w:rsidR="00EF7C26" w:rsidRPr="00EF7C26" w:rsidTr="00EF7C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rPr>
                <w:rFonts w:ascii="Calibri" w:eastAsia="Times New Roman" w:hAnsi="Calibri" w:cs="Times New Roman"/>
                <w:color w:val="000000"/>
              </w:rPr>
            </w:pPr>
            <w:r w:rsidRPr="00EF7C26">
              <w:rPr>
                <w:rFonts w:ascii="Calibri" w:eastAsia="Times New Roman" w:hAnsi="Calibri" w:cs="Times New Roman"/>
                <w:color w:val="000000"/>
              </w:rPr>
              <w:t>Year</w:t>
            </w:r>
          </w:p>
        </w:tc>
        <w:tc>
          <w:tcPr>
            <w:tcW w:w="1040" w:type="dxa"/>
            <w:noWrap/>
            <w:hideMark/>
          </w:tcPr>
          <w:p w:rsidR="00EF7C26" w:rsidRPr="00EF7C26" w:rsidRDefault="00EF7C26" w:rsidP="00EF7C2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Forecast</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2018</w:t>
            </w:r>
          </w:p>
        </w:tc>
        <w:tc>
          <w:tcPr>
            <w:tcW w:w="1040" w:type="dxa"/>
            <w:noWrap/>
            <w:hideMark/>
          </w:tcPr>
          <w:p w:rsidR="00EF7C26" w:rsidRPr="00EF7C26" w:rsidRDefault="00EF7C26" w:rsidP="00EF7C2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$1,187.91 </w:t>
            </w:r>
          </w:p>
        </w:tc>
      </w:tr>
      <w:tr w:rsidR="00EF7C26" w:rsidRPr="00EF7C26" w:rsidTr="00EF7C2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2019</w:t>
            </w:r>
          </w:p>
        </w:tc>
        <w:tc>
          <w:tcPr>
            <w:tcW w:w="1040" w:type="dxa"/>
            <w:noWrap/>
            <w:hideMark/>
          </w:tcPr>
          <w:p w:rsidR="00EF7C26" w:rsidRPr="00EF7C26" w:rsidRDefault="00EF7C26" w:rsidP="00EF7C2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$1,187.91 </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2020</w:t>
            </w:r>
          </w:p>
        </w:tc>
        <w:tc>
          <w:tcPr>
            <w:tcW w:w="1040" w:type="dxa"/>
            <w:noWrap/>
            <w:hideMark/>
          </w:tcPr>
          <w:p w:rsidR="00EF7C26" w:rsidRPr="00EF7C26" w:rsidRDefault="00EF7C26" w:rsidP="00EF7C26">
            <w:pPr>
              <w:keepNext/>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$1,187.91 </w:t>
            </w:r>
          </w:p>
        </w:tc>
      </w:tr>
    </w:tbl>
    <w:p w:rsidR="00EF7C26" w:rsidRDefault="00EF7C26" w:rsidP="00EF7C26">
      <w:pPr>
        <w:pStyle w:val="Caption"/>
      </w:pPr>
      <w:r>
        <w:t xml:space="preserve">Table </w:t>
      </w:r>
      <w:r w:rsidR="00926F77">
        <w:fldChar w:fldCharType="begin"/>
      </w:r>
      <w:r w:rsidR="00926F77">
        <w:instrText xml:space="preserve"> SEQ Table \* ARABIC </w:instrText>
      </w:r>
      <w:r w:rsidR="00926F77">
        <w:fldChar w:fldCharType="separate"/>
      </w:r>
      <w:r w:rsidR="00E76219">
        <w:rPr>
          <w:noProof/>
        </w:rPr>
        <w:t>8</w:t>
      </w:r>
      <w:r w:rsidR="00926F77">
        <w:rPr>
          <w:noProof/>
        </w:rPr>
        <w:fldChar w:fldCharType="end"/>
      </w:r>
      <w:r>
        <w:t>: 3-Year Moving Average</w:t>
      </w:r>
    </w:p>
    <w:tbl>
      <w:tblPr>
        <w:tblStyle w:val="GridTable2-Accent2"/>
        <w:tblW w:w="2000" w:type="dxa"/>
        <w:tblLook w:val="04A0" w:firstRow="1" w:lastRow="0" w:firstColumn="1" w:lastColumn="0" w:noHBand="0" w:noVBand="1"/>
      </w:tblPr>
      <w:tblGrid>
        <w:gridCol w:w="960"/>
        <w:gridCol w:w="1107"/>
      </w:tblGrid>
      <w:tr w:rsidR="00EF7C26" w:rsidRPr="00EF7C26" w:rsidTr="00EF7C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rPr>
                <w:rFonts w:ascii="Calibri" w:eastAsia="Times New Roman" w:hAnsi="Calibri" w:cs="Times New Roman"/>
                <w:color w:val="000000"/>
              </w:rPr>
            </w:pPr>
            <w:r w:rsidRPr="00EF7C26">
              <w:rPr>
                <w:rFonts w:ascii="Calibri" w:eastAsia="Times New Roman" w:hAnsi="Calibri" w:cs="Times New Roman"/>
                <w:color w:val="000000"/>
              </w:rPr>
              <w:t>Year</w:t>
            </w:r>
          </w:p>
        </w:tc>
        <w:tc>
          <w:tcPr>
            <w:tcW w:w="1040" w:type="dxa"/>
            <w:noWrap/>
            <w:hideMark/>
          </w:tcPr>
          <w:p w:rsidR="00EF7C26" w:rsidRPr="00EF7C26" w:rsidRDefault="00EF7C26" w:rsidP="00EF7C2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Forecast</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2018</w:t>
            </w:r>
          </w:p>
        </w:tc>
        <w:tc>
          <w:tcPr>
            <w:tcW w:w="1040" w:type="dxa"/>
            <w:noWrap/>
            <w:hideMark/>
          </w:tcPr>
          <w:p w:rsidR="00EF7C26" w:rsidRPr="00EF7C26" w:rsidRDefault="00EF7C26" w:rsidP="00EF7C2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$1,176.15 </w:t>
            </w:r>
          </w:p>
        </w:tc>
      </w:tr>
      <w:tr w:rsidR="00EF7C26" w:rsidRPr="00EF7C26" w:rsidTr="00EF7C2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2019</w:t>
            </w:r>
          </w:p>
        </w:tc>
        <w:tc>
          <w:tcPr>
            <w:tcW w:w="1040" w:type="dxa"/>
            <w:noWrap/>
            <w:hideMark/>
          </w:tcPr>
          <w:p w:rsidR="00EF7C26" w:rsidRPr="00EF7C26" w:rsidRDefault="00EF7C26" w:rsidP="00EF7C2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$1,176.15 </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2020</w:t>
            </w:r>
          </w:p>
        </w:tc>
        <w:tc>
          <w:tcPr>
            <w:tcW w:w="1040" w:type="dxa"/>
            <w:noWrap/>
            <w:hideMark/>
          </w:tcPr>
          <w:p w:rsidR="00EF7C26" w:rsidRPr="00EF7C26" w:rsidRDefault="00EF7C26" w:rsidP="00EF7C26">
            <w:pPr>
              <w:keepNext/>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$1,176.15 </w:t>
            </w:r>
          </w:p>
        </w:tc>
      </w:tr>
    </w:tbl>
    <w:p w:rsidR="00EF7C26" w:rsidRDefault="00EF7C26" w:rsidP="00EF7C26">
      <w:pPr>
        <w:pStyle w:val="Caption"/>
      </w:pPr>
      <w:r>
        <w:t xml:space="preserve">Table </w:t>
      </w:r>
      <w:r w:rsidR="00926F77">
        <w:fldChar w:fldCharType="begin"/>
      </w:r>
      <w:r w:rsidR="00926F77">
        <w:instrText xml:space="preserve"> SEQ Table \* ARABIC </w:instrText>
      </w:r>
      <w:r w:rsidR="00926F77">
        <w:fldChar w:fldCharType="separate"/>
      </w:r>
      <w:r w:rsidR="00E76219">
        <w:rPr>
          <w:noProof/>
        </w:rPr>
        <w:t>9</w:t>
      </w:r>
      <w:r w:rsidR="00926F77">
        <w:rPr>
          <w:noProof/>
        </w:rPr>
        <w:fldChar w:fldCharType="end"/>
      </w:r>
      <w:r>
        <w:t>: 5-Year Moving Average</w:t>
      </w:r>
    </w:p>
    <w:tbl>
      <w:tblPr>
        <w:tblStyle w:val="GridTable2-Accent2"/>
        <w:tblW w:w="2000" w:type="dxa"/>
        <w:tblLook w:val="04A0" w:firstRow="1" w:lastRow="0" w:firstColumn="1" w:lastColumn="0" w:noHBand="0" w:noVBand="1"/>
      </w:tblPr>
      <w:tblGrid>
        <w:gridCol w:w="960"/>
        <w:gridCol w:w="1107"/>
      </w:tblGrid>
      <w:tr w:rsidR="00EF7C26" w:rsidRPr="00EF7C26" w:rsidTr="00EF7C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rPr>
                <w:rFonts w:ascii="Calibri" w:eastAsia="Times New Roman" w:hAnsi="Calibri" w:cs="Times New Roman"/>
                <w:color w:val="000000"/>
              </w:rPr>
            </w:pPr>
            <w:r w:rsidRPr="00EF7C26">
              <w:rPr>
                <w:rFonts w:ascii="Calibri" w:eastAsia="Times New Roman" w:hAnsi="Calibri" w:cs="Times New Roman"/>
                <w:color w:val="000000"/>
              </w:rPr>
              <w:t>Year</w:t>
            </w:r>
          </w:p>
        </w:tc>
        <w:tc>
          <w:tcPr>
            <w:tcW w:w="1040" w:type="dxa"/>
            <w:noWrap/>
            <w:hideMark/>
          </w:tcPr>
          <w:p w:rsidR="00EF7C26" w:rsidRPr="00EF7C26" w:rsidRDefault="00EF7C26" w:rsidP="00EF7C2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Forecast</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2018</w:t>
            </w:r>
          </w:p>
        </w:tc>
        <w:tc>
          <w:tcPr>
            <w:tcW w:w="1040" w:type="dxa"/>
            <w:noWrap/>
            <w:hideMark/>
          </w:tcPr>
          <w:p w:rsidR="00EF7C26" w:rsidRPr="00EF7C26" w:rsidRDefault="00EF7C26" w:rsidP="00EF7C2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$1,213.26 </w:t>
            </w:r>
          </w:p>
        </w:tc>
      </w:tr>
      <w:tr w:rsidR="00EF7C26" w:rsidRPr="00EF7C26" w:rsidTr="00EF7C2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2019</w:t>
            </w:r>
          </w:p>
        </w:tc>
        <w:tc>
          <w:tcPr>
            <w:tcW w:w="1040" w:type="dxa"/>
            <w:noWrap/>
            <w:hideMark/>
          </w:tcPr>
          <w:p w:rsidR="00EF7C26" w:rsidRPr="00EF7C26" w:rsidRDefault="00EF7C26" w:rsidP="00EF7C2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$1,213.26 </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2020</w:t>
            </w:r>
          </w:p>
        </w:tc>
        <w:tc>
          <w:tcPr>
            <w:tcW w:w="1040" w:type="dxa"/>
            <w:noWrap/>
            <w:hideMark/>
          </w:tcPr>
          <w:p w:rsidR="00EF7C26" w:rsidRPr="00EF7C26" w:rsidRDefault="00EF7C26" w:rsidP="00EF7C26">
            <w:pPr>
              <w:keepNext/>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$1,213.26 </w:t>
            </w:r>
          </w:p>
        </w:tc>
      </w:tr>
    </w:tbl>
    <w:p w:rsidR="00EF7C26" w:rsidRDefault="00EF7C26" w:rsidP="00EF7C26">
      <w:pPr>
        <w:pStyle w:val="Caption"/>
      </w:pPr>
      <w:r>
        <w:t xml:space="preserve">Table </w:t>
      </w:r>
      <w:r w:rsidR="00926F77">
        <w:fldChar w:fldCharType="begin"/>
      </w:r>
      <w:r w:rsidR="00926F77">
        <w:instrText xml:space="preserve"> SEQ Table \* ARABIC </w:instrText>
      </w:r>
      <w:r w:rsidR="00926F77">
        <w:fldChar w:fldCharType="separate"/>
      </w:r>
      <w:r w:rsidR="00E76219">
        <w:rPr>
          <w:noProof/>
        </w:rPr>
        <w:t>10</w:t>
      </w:r>
      <w:r w:rsidR="00926F77">
        <w:rPr>
          <w:noProof/>
        </w:rPr>
        <w:fldChar w:fldCharType="end"/>
      </w:r>
      <w:r>
        <w:t>: Growth Curve</w:t>
      </w:r>
      <w:r>
        <w:rPr>
          <w:rStyle w:val="EndnoteReference"/>
        </w:rPr>
        <w:endnoteReference w:id="8"/>
      </w:r>
    </w:p>
    <w:tbl>
      <w:tblPr>
        <w:tblStyle w:val="GridTable2-Accent2"/>
        <w:tblW w:w="2000" w:type="dxa"/>
        <w:tblLook w:val="04A0" w:firstRow="1" w:lastRow="0" w:firstColumn="1" w:lastColumn="0" w:noHBand="0" w:noVBand="1"/>
      </w:tblPr>
      <w:tblGrid>
        <w:gridCol w:w="960"/>
        <w:gridCol w:w="1107"/>
      </w:tblGrid>
      <w:tr w:rsidR="00EF7C26" w:rsidRPr="00EF7C26" w:rsidTr="00EF7C2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rPr>
                <w:rFonts w:ascii="Calibri" w:eastAsia="Times New Roman" w:hAnsi="Calibri" w:cs="Times New Roman"/>
                <w:color w:val="000000"/>
              </w:rPr>
            </w:pPr>
            <w:r w:rsidRPr="00EF7C26">
              <w:rPr>
                <w:rFonts w:ascii="Calibri" w:eastAsia="Times New Roman" w:hAnsi="Calibri" w:cs="Times New Roman"/>
                <w:color w:val="000000"/>
              </w:rPr>
              <w:t>Year</w:t>
            </w:r>
          </w:p>
        </w:tc>
        <w:tc>
          <w:tcPr>
            <w:tcW w:w="1040" w:type="dxa"/>
            <w:noWrap/>
            <w:hideMark/>
          </w:tcPr>
          <w:p w:rsidR="00EF7C26" w:rsidRPr="00EF7C26" w:rsidRDefault="00EF7C26" w:rsidP="00EF7C2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Forecast</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2018</w:t>
            </w:r>
          </w:p>
        </w:tc>
        <w:tc>
          <w:tcPr>
            <w:tcW w:w="1040" w:type="dxa"/>
            <w:noWrap/>
            <w:hideMark/>
          </w:tcPr>
          <w:p w:rsidR="00EF7C26" w:rsidRPr="00EF7C26" w:rsidRDefault="00EF7C26" w:rsidP="00EF7C26">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$1,188.66 </w:t>
            </w:r>
          </w:p>
        </w:tc>
      </w:tr>
      <w:tr w:rsidR="00EF7C26" w:rsidRPr="00EF7C26" w:rsidTr="00EF7C26">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2019</w:t>
            </w:r>
          </w:p>
        </w:tc>
        <w:tc>
          <w:tcPr>
            <w:tcW w:w="1040" w:type="dxa"/>
            <w:noWrap/>
            <w:hideMark/>
          </w:tcPr>
          <w:p w:rsidR="00EF7C26" w:rsidRPr="00EF7C26" w:rsidRDefault="00EF7C26" w:rsidP="00EF7C2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$1,189.00 </w:t>
            </w:r>
          </w:p>
        </w:tc>
      </w:tr>
      <w:tr w:rsidR="00EF7C26" w:rsidRPr="00EF7C26" w:rsidTr="00EF7C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F7C26" w:rsidRPr="00EF7C26" w:rsidRDefault="00EF7C26" w:rsidP="00EF7C26">
            <w:pPr>
              <w:jc w:val="right"/>
              <w:rPr>
                <w:rFonts w:ascii="Calibri" w:eastAsia="Times New Roman" w:hAnsi="Calibri" w:cs="Times New Roman"/>
                <w:color w:val="000000"/>
              </w:rPr>
            </w:pPr>
            <w:r w:rsidRPr="00EF7C26">
              <w:rPr>
                <w:rFonts w:ascii="Calibri" w:eastAsia="Times New Roman" w:hAnsi="Calibri" w:cs="Times New Roman"/>
                <w:color w:val="000000"/>
              </w:rPr>
              <w:t>2020</w:t>
            </w:r>
          </w:p>
        </w:tc>
        <w:tc>
          <w:tcPr>
            <w:tcW w:w="1040" w:type="dxa"/>
            <w:noWrap/>
            <w:hideMark/>
          </w:tcPr>
          <w:p w:rsidR="00EF7C26" w:rsidRPr="00EF7C26" w:rsidRDefault="00EF7C26" w:rsidP="00EF7C26">
            <w:pPr>
              <w:keepNext/>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F7C26">
              <w:rPr>
                <w:rFonts w:ascii="Calibri" w:eastAsia="Times New Roman" w:hAnsi="Calibri" w:cs="Times New Roman"/>
                <w:color w:val="000000"/>
              </w:rPr>
              <w:t xml:space="preserve">$1,189.34 </w:t>
            </w:r>
          </w:p>
        </w:tc>
      </w:tr>
    </w:tbl>
    <w:p w:rsidR="00EF7C26" w:rsidRDefault="00EF7C26" w:rsidP="00EF7C26">
      <w:pPr>
        <w:pStyle w:val="Caption"/>
      </w:pPr>
      <w:r>
        <w:t xml:space="preserve">Table </w:t>
      </w:r>
      <w:r w:rsidR="00926F77">
        <w:fldChar w:fldCharType="begin"/>
      </w:r>
      <w:r w:rsidR="00926F77">
        <w:instrText xml:space="preserve"> SEQ Table \* ARABIC </w:instrText>
      </w:r>
      <w:r w:rsidR="00926F77">
        <w:fldChar w:fldCharType="separate"/>
      </w:r>
      <w:r w:rsidR="00E76219">
        <w:rPr>
          <w:noProof/>
        </w:rPr>
        <w:t>11</w:t>
      </w:r>
      <w:r w:rsidR="00926F77">
        <w:rPr>
          <w:noProof/>
        </w:rPr>
        <w:fldChar w:fldCharType="end"/>
      </w:r>
      <w:r>
        <w:t>: Linear Extrapolation</w:t>
      </w:r>
      <w:r>
        <w:rPr>
          <w:rStyle w:val="EndnoteReference"/>
        </w:rPr>
        <w:endnoteReference w:id="9"/>
      </w:r>
    </w:p>
    <w:tbl>
      <w:tblPr>
        <w:tblStyle w:val="GridTable2-Accent2"/>
        <w:tblW w:w="2000" w:type="dxa"/>
        <w:tblLook w:val="04A0" w:firstRow="1" w:lastRow="0" w:firstColumn="1" w:lastColumn="0" w:noHBand="0" w:noVBand="1"/>
      </w:tblPr>
      <w:tblGrid>
        <w:gridCol w:w="960"/>
        <w:gridCol w:w="1107"/>
      </w:tblGrid>
      <w:tr w:rsidR="00BB2397" w:rsidRPr="00BB2397" w:rsidTr="00BB23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BB2397" w:rsidRPr="00BB2397" w:rsidRDefault="00BB2397" w:rsidP="00BB2397">
            <w:pPr>
              <w:rPr>
                <w:rFonts w:ascii="Calibri" w:eastAsia="Times New Roman" w:hAnsi="Calibri" w:cs="Times New Roman"/>
                <w:color w:val="000000"/>
              </w:rPr>
            </w:pPr>
            <w:r w:rsidRPr="00BB2397">
              <w:rPr>
                <w:rFonts w:ascii="Calibri" w:eastAsia="Times New Roman" w:hAnsi="Calibri" w:cs="Times New Roman"/>
                <w:color w:val="000000"/>
              </w:rPr>
              <w:t>Year</w:t>
            </w:r>
          </w:p>
        </w:tc>
        <w:tc>
          <w:tcPr>
            <w:tcW w:w="1040" w:type="dxa"/>
            <w:noWrap/>
            <w:hideMark/>
          </w:tcPr>
          <w:p w:rsidR="00BB2397" w:rsidRPr="00BB2397" w:rsidRDefault="00BB2397" w:rsidP="00BB23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B2397">
              <w:rPr>
                <w:rFonts w:ascii="Calibri" w:eastAsia="Times New Roman" w:hAnsi="Calibri" w:cs="Times New Roman"/>
                <w:color w:val="000000"/>
              </w:rPr>
              <w:t>Forecast</w:t>
            </w:r>
          </w:p>
        </w:tc>
      </w:tr>
      <w:tr w:rsidR="00BB2397" w:rsidRPr="00BB2397" w:rsidTr="00BB23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BB2397" w:rsidRPr="00BB2397" w:rsidRDefault="00BB2397" w:rsidP="00BB2397">
            <w:pPr>
              <w:jc w:val="right"/>
              <w:rPr>
                <w:rFonts w:ascii="Calibri" w:eastAsia="Times New Roman" w:hAnsi="Calibri" w:cs="Times New Roman"/>
                <w:color w:val="000000"/>
              </w:rPr>
            </w:pPr>
            <w:r w:rsidRPr="00BB2397">
              <w:rPr>
                <w:rFonts w:ascii="Calibri" w:eastAsia="Times New Roman" w:hAnsi="Calibri" w:cs="Times New Roman"/>
                <w:color w:val="000000"/>
              </w:rPr>
              <w:t>2018</w:t>
            </w:r>
          </w:p>
        </w:tc>
        <w:tc>
          <w:tcPr>
            <w:tcW w:w="1040" w:type="dxa"/>
            <w:noWrap/>
            <w:hideMark/>
          </w:tcPr>
          <w:p w:rsidR="00BB2397" w:rsidRPr="00BB2397" w:rsidRDefault="00BB2397" w:rsidP="00BB239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B2397">
              <w:rPr>
                <w:rFonts w:ascii="Calibri" w:eastAsia="Times New Roman" w:hAnsi="Calibri" w:cs="Times New Roman"/>
                <w:color w:val="000000"/>
              </w:rPr>
              <w:t xml:space="preserve">$1,214.64 </w:t>
            </w:r>
          </w:p>
        </w:tc>
      </w:tr>
      <w:tr w:rsidR="00BB2397" w:rsidRPr="00BB2397" w:rsidTr="00BB2397">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BB2397" w:rsidRPr="00BB2397" w:rsidRDefault="00BB2397" w:rsidP="00BB2397">
            <w:pPr>
              <w:jc w:val="right"/>
              <w:rPr>
                <w:rFonts w:ascii="Calibri" w:eastAsia="Times New Roman" w:hAnsi="Calibri" w:cs="Times New Roman"/>
                <w:color w:val="000000"/>
              </w:rPr>
            </w:pPr>
            <w:r w:rsidRPr="00BB2397">
              <w:rPr>
                <w:rFonts w:ascii="Calibri" w:eastAsia="Times New Roman" w:hAnsi="Calibri" w:cs="Times New Roman"/>
                <w:color w:val="000000"/>
              </w:rPr>
              <w:t>2019</w:t>
            </w:r>
          </w:p>
        </w:tc>
        <w:tc>
          <w:tcPr>
            <w:tcW w:w="1040" w:type="dxa"/>
            <w:noWrap/>
            <w:hideMark/>
          </w:tcPr>
          <w:p w:rsidR="00BB2397" w:rsidRPr="00BB2397" w:rsidRDefault="00BB2397" w:rsidP="00BB239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BB2397">
              <w:rPr>
                <w:rFonts w:ascii="Calibri" w:eastAsia="Times New Roman" w:hAnsi="Calibri" w:cs="Times New Roman"/>
                <w:color w:val="000000"/>
              </w:rPr>
              <w:t xml:space="preserve">$1,231.51 </w:t>
            </w:r>
          </w:p>
        </w:tc>
      </w:tr>
      <w:tr w:rsidR="00BB2397" w:rsidRPr="00BB2397" w:rsidTr="00BB23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BB2397" w:rsidRPr="00BB2397" w:rsidRDefault="00BB2397" w:rsidP="00BB2397">
            <w:pPr>
              <w:jc w:val="right"/>
              <w:rPr>
                <w:rFonts w:ascii="Calibri" w:eastAsia="Times New Roman" w:hAnsi="Calibri" w:cs="Times New Roman"/>
                <w:color w:val="000000"/>
              </w:rPr>
            </w:pPr>
            <w:r w:rsidRPr="00BB2397">
              <w:rPr>
                <w:rFonts w:ascii="Calibri" w:eastAsia="Times New Roman" w:hAnsi="Calibri" w:cs="Times New Roman"/>
                <w:color w:val="000000"/>
              </w:rPr>
              <w:t>2020</w:t>
            </w:r>
          </w:p>
        </w:tc>
        <w:tc>
          <w:tcPr>
            <w:tcW w:w="1040" w:type="dxa"/>
            <w:noWrap/>
            <w:hideMark/>
          </w:tcPr>
          <w:p w:rsidR="00BB2397" w:rsidRPr="00BB2397" w:rsidRDefault="00BB2397" w:rsidP="00BB2397">
            <w:pPr>
              <w:keepNext/>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B2397">
              <w:rPr>
                <w:rFonts w:ascii="Calibri" w:eastAsia="Times New Roman" w:hAnsi="Calibri" w:cs="Times New Roman"/>
                <w:color w:val="000000"/>
              </w:rPr>
              <w:t xml:space="preserve">$1,248.62 </w:t>
            </w:r>
          </w:p>
        </w:tc>
      </w:tr>
    </w:tbl>
    <w:p w:rsidR="00BB2397" w:rsidRDefault="00BB2397" w:rsidP="00BB2397">
      <w:pPr>
        <w:pStyle w:val="Caption"/>
      </w:pPr>
      <w:r>
        <w:t xml:space="preserve">Table </w:t>
      </w:r>
      <w:r w:rsidR="00926F77">
        <w:fldChar w:fldCharType="begin"/>
      </w:r>
      <w:r w:rsidR="00926F77">
        <w:instrText xml:space="preserve"> SEQ Table \* ARABIC </w:instrText>
      </w:r>
      <w:r w:rsidR="00926F77">
        <w:fldChar w:fldCharType="separate"/>
      </w:r>
      <w:r w:rsidR="00E76219">
        <w:rPr>
          <w:noProof/>
        </w:rPr>
        <w:t>12</w:t>
      </w:r>
      <w:r w:rsidR="00926F77">
        <w:rPr>
          <w:noProof/>
        </w:rPr>
        <w:fldChar w:fldCharType="end"/>
      </w:r>
      <w:r>
        <w:t xml:space="preserve">: Same Percentage Increase as Last Year </w:t>
      </w:r>
      <w:r w:rsidR="00E76219">
        <w:t>O</w:t>
      </w:r>
      <w:r>
        <w:t>ver Previous</w:t>
      </w:r>
      <w:r w:rsidR="00E76219">
        <w:rPr>
          <w:rStyle w:val="EndnoteReference"/>
        </w:rPr>
        <w:endnoteReference w:id="10"/>
      </w:r>
    </w:p>
    <w:tbl>
      <w:tblPr>
        <w:tblStyle w:val="GridTable2-Accent2"/>
        <w:tblW w:w="2000" w:type="dxa"/>
        <w:tblLook w:val="04A0" w:firstRow="1" w:lastRow="0" w:firstColumn="1" w:lastColumn="0" w:noHBand="0" w:noVBand="1"/>
      </w:tblPr>
      <w:tblGrid>
        <w:gridCol w:w="960"/>
        <w:gridCol w:w="1107"/>
      </w:tblGrid>
      <w:tr w:rsidR="00E76219" w:rsidRPr="00E76219" w:rsidTr="00E762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76219" w:rsidRPr="00E76219" w:rsidRDefault="00E76219" w:rsidP="00E76219">
            <w:pPr>
              <w:rPr>
                <w:rFonts w:ascii="Calibri" w:eastAsia="Times New Roman" w:hAnsi="Calibri" w:cs="Times New Roman"/>
                <w:color w:val="000000"/>
              </w:rPr>
            </w:pPr>
            <w:r w:rsidRPr="00E76219">
              <w:rPr>
                <w:rFonts w:ascii="Calibri" w:eastAsia="Times New Roman" w:hAnsi="Calibri" w:cs="Times New Roman"/>
                <w:color w:val="000000"/>
              </w:rPr>
              <w:t>Year</w:t>
            </w:r>
          </w:p>
        </w:tc>
        <w:tc>
          <w:tcPr>
            <w:tcW w:w="1040" w:type="dxa"/>
            <w:noWrap/>
            <w:hideMark/>
          </w:tcPr>
          <w:p w:rsidR="00E76219" w:rsidRPr="00E76219" w:rsidRDefault="00E76219" w:rsidP="00E7621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76219">
              <w:rPr>
                <w:rFonts w:ascii="Calibri" w:eastAsia="Times New Roman" w:hAnsi="Calibri" w:cs="Times New Roman"/>
                <w:color w:val="000000"/>
              </w:rPr>
              <w:t>Forecast</w:t>
            </w:r>
          </w:p>
        </w:tc>
      </w:tr>
      <w:tr w:rsidR="00E76219" w:rsidRPr="00E76219" w:rsidTr="00E76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76219" w:rsidRPr="00E76219" w:rsidRDefault="00E76219" w:rsidP="00E76219">
            <w:pPr>
              <w:jc w:val="right"/>
              <w:rPr>
                <w:rFonts w:ascii="Calibri" w:eastAsia="Times New Roman" w:hAnsi="Calibri" w:cs="Times New Roman"/>
                <w:color w:val="000000"/>
              </w:rPr>
            </w:pPr>
            <w:r w:rsidRPr="00E76219">
              <w:rPr>
                <w:rFonts w:ascii="Calibri" w:eastAsia="Times New Roman" w:hAnsi="Calibri" w:cs="Times New Roman"/>
                <w:color w:val="000000"/>
              </w:rPr>
              <w:t>2018</w:t>
            </w:r>
          </w:p>
        </w:tc>
        <w:tc>
          <w:tcPr>
            <w:tcW w:w="1040" w:type="dxa"/>
            <w:noWrap/>
            <w:hideMark/>
          </w:tcPr>
          <w:p w:rsidR="00E76219" w:rsidRPr="00E76219" w:rsidRDefault="00E76219" w:rsidP="00E7621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76219">
              <w:rPr>
                <w:rFonts w:ascii="Calibri" w:eastAsia="Times New Roman" w:hAnsi="Calibri" w:cs="Times New Roman"/>
                <w:color w:val="000000"/>
              </w:rPr>
              <w:t xml:space="preserve">$1,214.41 </w:t>
            </w:r>
          </w:p>
        </w:tc>
      </w:tr>
      <w:tr w:rsidR="00E76219" w:rsidRPr="00E76219" w:rsidTr="00E76219">
        <w:trPr>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76219" w:rsidRPr="00E76219" w:rsidRDefault="00E76219" w:rsidP="00E76219">
            <w:pPr>
              <w:jc w:val="right"/>
              <w:rPr>
                <w:rFonts w:ascii="Calibri" w:eastAsia="Times New Roman" w:hAnsi="Calibri" w:cs="Times New Roman"/>
                <w:color w:val="000000"/>
              </w:rPr>
            </w:pPr>
            <w:r w:rsidRPr="00E76219">
              <w:rPr>
                <w:rFonts w:ascii="Calibri" w:eastAsia="Times New Roman" w:hAnsi="Calibri" w:cs="Times New Roman"/>
                <w:color w:val="000000"/>
              </w:rPr>
              <w:t>2019</w:t>
            </w:r>
          </w:p>
        </w:tc>
        <w:tc>
          <w:tcPr>
            <w:tcW w:w="1040" w:type="dxa"/>
            <w:noWrap/>
            <w:hideMark/>
          </w:tcPr>
          <w:p w:rsidR="00E76219" w:rsidRPr="00E76219" w:rsidRDefault="00E76219" w:rsidP="00E7621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76219">
              <w:rPr>
                <w:rFonts w:ascii="Calibri" w:eastAsia="Times New Roman" w:hAnsi="Calibri" w:cs="Times New Roman"/>
                <w:color w:val="000000"/>
              </w:rPr>
              <w:t xml:space="preserve">$1,230.83 </w:t>
            </w:r>
          </w:p>
        </w:tc>
      </w:tr>
      <w:tr w:rsidR="00E76219" w:rsidRPr="00E76219" w:rsidTr="00E76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0" w:type="dxa"/>
            <w:noWrap/>
            <w:hideMark/>
          </w:tcPr>
          <w:p w:rsidR="00E76219" w:rsidRPr="00E76219" w:rsidRDefault="00E76219" w:rsidP="00E76219">
            <w:pPr>
              <w:jc w:val="right"/>
              <w:rPr>
                <w:rFonts w:ascii="Calibri" w:eastAsia="Times New Roman" w:hAnsi="Calibri" w:cs="Times New Roman"/>
                <w:color w:val="000000"/>
              </w:rPr>
            </w:pPr>
            <w:r w:rsidRPr="00E76219">
              <w:rPr>
                <w:rFonts w:ascii="Calibri" w:eastAsia="Times New Roman" w:hAnsi="Calibri" w:cs="Times New Roman"/>
                <w:color w:val="000000"/>
              </w:rPr>
              <w:t>2020</w:t>
            </w:r>
          </w:p>
        </w:tc>
        <w:tc>
          <w:tcPr>
            <w:tcW w:w="1040" w:type="dxa"/>
            <w:noWrap/>
            <w:hideMark/>
          </w:tcPr>
          <w:p w:rsidR="00E76219" w:rsidRPr="00E76219" w:rsidRDefault="00E76219" w:rsidP="00E76219">
            <w:pPr>
              <w:keepNext/>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76219">
              <w:rPr>
                <w:rFonts w:ascii="Calibri" w:eastAsia="Times New Roman" w:hAnsi="Calibri" w:cs="Times New Roman"/>
                <w:color w:val="000000"/>
              </w:rPr>
              <w:t xml:space="preserve">$1,247.24 </w:t>
            </w:r>
          </w:p>
        </w:tc>
      </w:tr>
    </w:tbl>
    <w:p w:rsidR="00E76219" w:rsidRDefault="00E76219" w:rsidP="00E76219">
      <w:pPr>
        <w:pStyle w:val="Caption"/>
      </w:pPr>
      <w:r>
        <w:t xml:space="preserve">Table </w:t>
      </w:r>
      <w:r w:rsidR="00926F77">
        <w:fldChar w:fldCharType="begin"/>
      </w:r>
      <w:r w:rsidR="00926F77">
        <w:instrText xml:space="preserve"> SEQ Table \* ARABIC </w:instrText>
      </w:r>
      <w:r w:rsidR="00926F77">
        <w:fldChar w:fldCharType="separate"/>
      </w:r>
      <w:r>
        <w:rPr>
          <w:noProof/>
        </w:rPr>
        <w:t>13</w:t>
      </w:r>
      <w:r w:rsidR="00926F77">
        <w:rPr>
          <w:noProof/>
        </w:rPr>
        <w:fldChar w:fldCharType="end"/>
      </w:r>
      <w:r>
        <w:t>: Same Incremental Increase as Last Year Over Previous</w:t>
      </w:r>
      <w:r>
        <w:rPr>
          <w:rStyle w:val="EndnoteReference"/>
        </w:rPr>
        <w:endnoteReference w:id="11"/>
      </w:r>
    </w:p>
    <w:tbl>
      <w:tblPr>
        <w:tblStyle w:val="GridTable2-Accent2"/>
        <w:tblW w:w="1580" w:type="dxa"/>
        <w:tblLook w:val="04A0" w:firstRow="1" w:lastRow="0" w:firstColumn="1" w:lastColumn="0" w:noHBand="0" w:noVBand="1"/>
      </w:tblPr>
      <w:tblGrid>
        <w:gridCol w:w="663"/>
        <w:gridCol w:w="1107"/>
      </w:tblGrid>
      <w:tr w:rsidR="00E76219" w:rsidRPr="00E76219" w:rsidTr="00E762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rsidR="00E76219" w:rsidRPr="00E76219" w:rsidRDefault="00E76219" w:rsidP="00E76219">
            <w:pPr>
              <w:rPr>
                <w:rFonts w:ascii="Calibri" w:eastAsia="Times New Roman" w:hAnsi="Calibri" w:cs="Times New Roman"/>
                <w:color w:val="000000"/>
              </w:rPr>
            </w:pPr>
            <w:r w:rsidRPr="00E76219">
              <w:rPr>
                <w:rFonts w:ascii="Calibri" w:eastAsia="Times New Roman" w:hAnsi="Calibri" w:cs="Times New Roman"/>
                <w:color w:val="000000"/>
              </w:rPr>
              <w:t>Year</w:t>
            </w:r>
          </w:p>
        </w:tc>
        <w:tc>
          <w:tcPr>
            <w:tcW w:w="1040" w:type="dxa"/>
            <w:noWrap/>
            <w:hideMark/>
          </w:tcPr>
          <w:p w:rsidR="00E76219" w:rsidRPr="00E76219" w:rsidRDefault="00E76219" w:rsidP="00E7621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76219">
              <w:rPr>
                <w:rFonts w:ascii="Calibri" w:eastAsia="Times New Roman" w:hAnsi="Calibri" w:cs="Times New Roman"/>
                <w:color w:val="000000"/>
              </w:rPr>
              <w:t>Forecast</w:t>
            </w:r>
          </w:p>
        </w:tc>
      </w:tr>
      <w:tr w:rsidR="00E76219" w:rsidRPr="00E76219" w:rsidTr="00E76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rsidR="00E76219" w:rsidRPr="00E76219" w:rsidRDefault="00E76219" w:rsidP="00E76219">
            <w:pPr>
              <w:jc w:val="right"/>
              <w:rPr>
                <w:rFonts w:ascii="Calibri" w:eastAsia="Times New Roman" w:hAnsi="Calibri" w:cs="Times New Roman"/>
                <w:color w:val="000000"/>
              </w:rPr>
            </w:pPr>
            <w:r w:rsidRPr="00E76219">
              <w:rPr>
                <w:rFonts w:ascii="Calibri" w:eastAsia="Times New Roman" w:hAnsi="Calibri" w:cs="Times New Roman"/>
                <w:color w:val="000000"/>
              </w:rPr>
              <w:t>2018</w:t>
            </w:r>
          </w:p>
        </w:tc>
        <w:tc>
          <w:tcPr>
            <w:tcW w:w="1040" w:type="dxa"/>
            <w:noWrap/>
            <w:hideMark/>
          </w:tcPr>
          <w:p w:rsidR="00E76219" w:rsidRPr="00E76219" w:rsidRDefault="00E76219" w:rsidP="00E7621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76219">
              <w:rPr>
                <w:rFonts w:ascii="Calibri" w:eastAsia="Times New Roman" w:hAnsi="Calibri" w:cs="Times New Roman"/>
                <w:color w:val="000000"/>
              </w:rPr>
              <w:t xml:space="preserve">$1,216.45 </w:t>
            </w:r>
          </w:p>
        </w:tc>
      </w:tr>
      <w:tr w:rsidR="00E76219" w:rsidRPr="00E76219" w:rsidTr="00E76219">
        <w:trPr>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rsidR="00E76219" w:rsidRPr="00E76219" w:rsidRDefault="00E76219" w:rsidP="00E76219">
            <w:pPr>
              <w:jc w:val="right"/>
              <w:rPr>
                <w:rFonts w:ascii="Calibri" w:eastAsia="Times New Roman" w:hAnsi="Calibri" w:cs="Times New Roman"/>
                <w:color w:val="000000"/>
              </w:rPr>
            </w:pPr>
            <w:r w:rsidRPr="00E76219">
              <w:rPr>
                <w:rFonts w:ascii="Calibri" w:eastAsia="Times New Roman" w:hAnsi="Calibri" w:cs="Times New Roman"/>
                <w:color w:val="000000"/>
              </w:rPr>
              <w:t>2019</w:t>
            </w:r>
          </w:p>
        </w:tc>
        <w:tc>
          <w:tcPr>
            <w:tcW w:w="1040" w:type="dxa"/>
            <w:noWrap/>
            <w:hideMark/>
          </w:tcPr>
          <w:p w:rsidR="00E76219" w:rsidRPr="00E76219" w:rsidRDefault="00E76219" w:rsidP="00E7621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E76219">
              <w:rPr>
                <w:rFonts w:ascii="Calibri" w:eastAsia="Times New Roman" w:hAnsi="Calibri" w:cs="Times New Roman"/>
                <w:color w:val="000000"/>
              </w:rPr>
              <w:t xml:space="preserve">$1,235.19 </w:t>
            </w:r>
          </w:p>
        </w:tc>
      </w:tr>
      <w:tr w:rsidR="00E76219" w:rsidRPr="00E76219" w:rsidTr="00E762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40" w:type="dxa"/>
            <w:noWrap/>
            <w:hideMark/>
          </w:tcPr>
          <w:p w:rsidR="00E76219" w:rsidRPr="00E76219" w:rsidRDefault="00E76219" w:rsidP="00E76219">
            <w:pPr>
              <w:jc w:val="right"/>
              <w:rPr>
                <w:rFonts w:ascii="Calibri" w:eastAsia="Times New Roman" w:hAnsi="Calibri" w:cs="Times New Roman"/>
                <w:color w:val="000000"/>
              </w:rPr>
            </w:pPr>
            <w:r w:rsidRPr="00E76219">
              <w:rPr>
                <w:rFonts w:ascii="Calibri" w:eastAsia="Times New Roman" w:hAnsi="Calibri" w:cs="Times New Roman"/>
                <w:color w:val="000000"/>
              </w:rPr>
              <w:t>2020</w:t>
            </w:r>
          </w:p>
        </w:tc>
        <w:tc>
          <w:tcPr>
            <w:tcW w:w="1040" w:type="dxa"/>
            <w:noWrap/>
            <w:hideMark/>
          </w:tcPr>
          <w:p w:rsidR="00E76219" w:rsidRPr="00E76219" w:rsidRDefault="00E76219" w:rsidP="00E76219">
            <w:pPr>
              <w:keepNext/>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E76219">
              <w:rPr>
                <w:rFonts w:ascii="Calibri" w:eastAsia="Times New Roman" w:hAnsi="Calibri" w:cs="Times New Roman"/>
                <w:color w:val="000000"/>
              </w:rPr>
              <w:t xml:space="preserve">$1,254.21 </w:t>
            </w:r>
          </w:p>
        </w:tc>
      </w:tr>
    </w:tbl>
    <w:p w:rsidR="00E76219" w:rsidRPr="00E76219" w:rsidRDefault="00E76219" w:rsidP="00E76219">
      <w:pPr>
        <w:pStyle w:val="Caption"/>
      </w:pPr>
      <w:r>
        <w:t xml:space="preserve">Table </w:t>
      </w:r>
      <w:r w:rsidR="00926F77">
        <w:fldChar w:fldCharType="begin"/>
      </w:r>
      <w:r w:rsidR="00926F77">
        <w:instrText xml:space="preserve"> SEQ Table \* ARABIC </w:instrText>
      </w:r>
      <w:r w:rsidR="00926F77">
        <w:fldChar w:fldCharType="separate"/>
      </w:r>
      <w:r>
        <w:rPr>
          <w:noProof/>
        </w:rPr>
        <w:t>14</w:t>
      </w:r>
      <w:r w:rsidR="00926F77">
        <w:rPr>
          <w:noProof/>
        </w:rPr>
        <w:fldChar w:fldCharType="end"/>
      </w:r>
      <w:r>
        <w:t>: Historical Compounded Annual Growth Rate</w:t>
      </w:r>
      <w:r w:rsidR="00985AD5">
        <w:rPr>
          <w:rStyle w:val="EndnoteReference"/>
        </w:rPr>
        <w:endnoteReference w:id="12"/>
      </w:r>
    </w:p>
    <w:p w:rsidR="00C97284" w:rsidRPr="00C97284" w:rsidRDefault="00731ADA" w:rsidP="00AE2AFD">
      <w:pPr>
        <w:pStyle w:val="Heading1"/>
        <w:numPr>
          <w:ilvl w:val="0"/>
          <w:numId w:val="0"/>
        </w:numPr>
        <w:ind w:left="720"/>
      </w:pPr>
      <w:bookmarkStart w:id="21" w:name="_Toc520813350"/>
      <w:r>
        <w:lastRenderedPageBreak/>
        <w:t>Endnotes</w:t>
      </w:r>
      <w:bookmarkEnd w:id="21"/>
    </w:p>
    <w:sectPr w:rsidR="00C97284" w:rsidRPr="00C97284" w:rsidSect="0040752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F77" w:rsidRDefault="00926F77" w:rsidP="0072458A">
      <w:pPr>
        <w:spacing w:after="0" w:line="240" w:lineRule="auto"/>
      </w:pPr>
      <w:r>
        <w:separator/>
      </w:r>
    </w:p>
  </w:endnote>
  <w:endnote w:type="continuationSeparator" w:id="0">
    <w:p w:rsidR="00926F77" w:rsidRDefault="00926F77" w:rsidP="0072458A">
      <w:pPr>
        <w:spacing w:after="0" w:line="240" w:lineRule="auto"/>
      </w:pPr>
      <w:r>
        <w:continuationSeparator/>
      </w:r>
    </w:p>
  </w:endnote>
  <w:endnote w:id="1">
    <w:p w:rsidR="00C302F2" w:rsidRPr="00521975" w:rsidRDefault="00C302F2">
      <w:pPr>
        <w:pStyle w:val="EndnoteText"/>
        <w:rPr>
          <w:sz w:val="24"/>
          <w:szCs w:val="24"/>
        </w:rPr>
      </w:pPr>
      <w:r w:rsidRPr="00521975">
        <w:rPr>
          <w:rStyle w:val="EndnoteReference"/>
          <w:sz w:val="24"/>
          <w:szCs w:val="24"/>
        </w:rPr>
        <w:endnoteRef/>
      </w:r>
      <w:r w:rsidRPr="00521975">
        <w:rPr>
          <w:sz w:val="24"/>
          <w:szCs w:val="24"/>
        </w:rPr>
        <w:t xml:space="preserve"> Technically, the real-world price cannot realistically be known</w:t>
      </w:r>
      <w:r w:rsidR="00C67967">
        <w:rPr>
          <w:sz w:val="24"/>
          <w:szCs w:val="24"/>
        </w:rPr>
        <w:t xml:space="preserve"> with absolute precision</w:t>
      </w:r>
      <w:r w:rsidRPr="00521975">
        <w:rPr>
          <w:sz w:val="24"/>
          <w:szCs w:val="24"/>
        </w:rPr>
        <w:t>. Throughout this document, when I refer to price, I am referring to the “All Varieties” line of the relevant reports put out by the USDA, Washington State Wine Commission and other organizations.</w:t>
      </w:r>
    </w:p>
  </w:endnote>
  <w:endnote w:id="2">
    <w:p w:rsidR="00C302F2" w:rsidRPr="00521975" w:rsidRDefault="00C302F2">
      <w:pPr>
        <w:pStyle w:val="EndnoteText"/>
        <w:rPr>
          <w:sz w:val="24"/>
          <w:szCs w:val="24"/>
        </w:rPr>
      </w:pPr>
      <w:r w:rsidRPr="00521975">
        <w:rPr>
          <w:rStyle w:val="EndnoteReference"/>
          <w:sz w:val="24"/>
          <w:szCs w:val="24"/>
        </w:rPr>
        <w:endnoteRef/>
      </w:r>
      <w:r w:rsidRPr="00521975">
        <w:rPr>
          <w:sz w:val="24"/>
          <w:szCs w:val="24"/>
        </w:rPr>
        <w:t xml:space="preserve"> My estimates are derived from the most recent </w:t>
      </w:r>
      <w:hyperlink r:id="rId1" w:history="1">
        <w:r w:rsidRPr="00521975">
          <w:rPr>
            <w:rStyle w:val="Hyperlink"/>
            <w:sz w:val="24"/>
            <w:szCs w:val="24"/>
          </w:rPr>
          <w:t>Philadelphia Federal Reserve’s Livingston Survey</w:t>
        </w:r>
      </w:hyperlink>
      <w:r w:rsidRPr="00521975">
        <w:rPr>
          <w:sz w:val="24"/>
          <w:szCs w:val="24"/>
        </w:rPr>
        <w:t>.</w:t>
      </w:r>
    </w:p>
  </w:endnote>
  <w:endnote w:id="3">
    <w:p w:rsidR="00C302F2" w:rsidRPr="00521975" w:rsidRDefault="00C302F2">
      <w:pPr>
        <w:pStyle w:val="EndnoteText"/>
        <w:rPr>
          <w:sz w:val="24"/>
          <w:szCs w:val="24"/>
        </w:rPr>
      </w:pPr>
      <w:r w:rsidRPr="00521975">
        <w:rPr>
          <w:rStyle w:val="EndnoteReference"/>
          <w:sz w:val="24"/>
          <w:szCs w:val="24"/>
        </w:rPr>
        <w:endnoteRef/>
      </w:r>
      <w:r w:rsidRPr="00521975">
        <w:rPr>
          <w:sz w:val="24"/>
          <w:szCs w:val="24"/>
        </w:rPr>
        <w:t xml:space="preserve"> This assumption is based off information provided by </w:t>
      </w:r>
      <w:hyperlink r:id="rId2" w:history="1">
        <w:r w:rsidRPr="00521975">
          <w:rPr>
            <w:rStyle w:val="Hyperlink"/>
            <w:sz w:val="24"/>
            <w:szCs w:val="24"/>
          </w:rPr>
          <w:t>Allied Grape Growers</w:t>
        </w:r>
      </w:hyperlink>
      <w:r w:rsidRPr="00521975">
        <w:rPr>
          <w:sz w:val="24"/>
          <w:szCs w:val="24"/>
        </w:rPr>
        <w:t>, who I consider to be the most authoritative source.</w:t>
      </w:r>
    </w:p>
  </w:endnote>
  <w:endnote w:id="4">
    <w:p w:rsidR="00C302F2" w:rsidRPr="00521975" w:rsidRDefault="00C302F2">
      <w:pPr>
        <w:pStyle w:val="EndnoteText"/>
        <w:rPr>
          <w:sz w:val="24"/>
          <w:szCs w:val="24"/>
        </w:rPr>
      </w:pPr>
      <w:r w:rsidRPr="00521975">
        <w:rPr>
          <w:rStyle w:val="EndnoteReference"/>
          <w:sz w:val="24"/>
          <w:szCs w:val="24"/>
        </w:rPr>
        <w:endnoteRef/>
      </w:r>
      <w:r w:rsidRPr="00521975">
        <w:rPr>
          <w:sz w:val="24"/>
          <w:szCs w:val="24"/>
        </w:rPr>
        <w:t xml:space="preserve"> Technically, the real-world acreage figure cannot realistically be known</w:t>
      </w:r>
      <w:r w:rsidR="00C67967">
        <w:rPr>
          <w:sz w:val="24"/>
          <w:szCs w:val="24"/>
        </w:rPr>
        <w:t xml:space="preserve"> with absolute precision</w:t>
      </w:r>
      <w:r w:rsidRPr="00521975">
        <w:rPr>
          <w:sz w:val="24"/>
          <w:szCs w:val="24"/>
        </w:rPr>
        <w:t>. Throughout this document, when I refer to acreage, I am referring to the “All Varieties” line, or similar figure, of the relevant reports put out by the USDA, Washington State Wine Commission and other organizations.</w:t>
      </w:r>
    </w:p>
  </w:endnote>
  <w:endnote w:id="5">
    <w:p w:rsidR="00C302F2" w:rsidRPr="00521975" w:rsidRDefault="00C302F2">
      <w:pPr>
        <w:pStyle w:val="EndnoteText"/>
        <w:rPr>
          <w:sz w:val="24"/>
          <w:szCs w:val="24"/>
        </w:rPr>
      </w:pPr>
      <w:r w:rsidRPr="00521975">
        <w:rPr>
          <w:rStyle w:val="EndnoteReference"/>
          <w:sz w:val="24"/>
          <w:szCs w:val="24"/>
        </w:rPr>
        <w:endnoteRef/>
      </w:r>
      <w:r w:rsidRPr="00521975">
        <w:rPr>
          <w:sz w:val="24"/>
          <w:szCs w:val="24"/>
        </w:rPr>
        <w:t xml:space="preserve"> Predictive variables for Models 1 and 4 had a shorter available history.</w:t>
      </w:r>
    </w:p>
  </w:endnote>
  <w:endnote w:id="6">
    <w:p w:rsidR="005D3D4F" w:rsidRPr="00521975" w:rsidRDefault="005D3D4F">
      <w:pPr>
        <w:pStyle w:val="EndnoteText"/>
        <w:rPr>
          <w:sz w:val="24"/>
          <w:szCs w:val="24"/>
        </w:rPr>
      </w:pPr>
      <w:r w:rsidRPr="00521975">
        <w:rPr>
          <w:rStyle w:val="EndnoteReference"/>
          <w:sz w:val="24"/>
          <w:szCs w:val="24"/>
        </w:rPr>
        <w:endnoteRef/>
      </w:r>
      <w:r w:rsidRPr="00521975">
        <w:rPr>
          <w:sz w:val="24"/>
          <w:szCs w:val="24"/>
        </w:rPr>
        <w:t xml:space="preserve"> Hold-out testing</w:t>
      </w:r>
      <w:r w:rsidR="00820B4F" w:rsidRPr="00521975">
        <w:rPr>
          <w:sz w:val="24"/>
          <w:szCs w:val="24"/>
        </w:rPr>
        <w:t xml:space="preserve"> for Model 0</w:t>
      </w:r>
      <w:r w:rsidRPr="00521975">
        <w:rPr>
          <w:sz w:val="24"/>
          <w:szCs w:val="24"/>
        </w:rPr>
        <w:t xml:space="preserve"> showed MAPEs of 2.69%, 2.29% and 1.47% for horizons of 1, 2 and 3 years respectively.</w:t>
      </w:r>
      <w:r w:rsidR="00820B4F" w:rsidRPr="00521975">
        <w:rPr>
          <w:sz w:val="24"/>
          <w:szCs w:val="24"/>
        </w:rPr>
        <w:t xml:space="preserve">  For Model 4, the figures are </w:t>
      </w:r>
      <w:r w:rsidR="00412458" w:rsidRPr="00521975">
        <w:rPr>
          <w:sz w:val="24"/>
          <w:szCs w:val="24"/>
        </w:rPr>
        <w:t>1.28%, 1.53% and 2.43%.</w:t>
      </w:r>
      <w:r w:rsidR="00820B4F" w:rsidRPr="00521975">
        <w:rPr>
          <w:sz w:val="24"/>
          <w:szCs w:val="24"/>
        </w:rPr>
        <w:t xml:space="preserve">  For Model 4, the MAPEs are 1.50%, 1.89% and 2.85% at those respective horizons. </w:t>
      </w:r>
    </w:p>
  </w:endnote>
  <w:endnote w:id="7">
    <w:p w:rsidR="00EF7C26" w:rsidRPr="00521975" w:rsidRDefault="00EF7C26">
      <w:pPr>
        <w:pStyle w:val="EndnoteText"/>
        <w:rPr>
          <w:sz w:val="24"/>
          <w:szCs w:val="24"/>
        </w:rPr>
      </w:pPr>
      <w:r w:rsidRPr="00521975">
        <w:rPr>
          <w:rStyle w:val="EndnoteReference"/>
          <w:sz w:val="24"/>
          <w:szCs w:val="24"/>
        </w:rPr>
        <w:endnoteRef/>
      </w:r>
      <w:r w:rsidRPr="00521975">
        <w:rPr>
          <w:sz w:val="24"/>
          <w:szCs w:val="24"/>
        </w:rPr>
        <w:t xml:space="preserve"> This forecast is identical to the Random Walk naïve model and, for these purposes, the Same </w:t>
      </w:r>
      <w:proofErr w:type="gramStart"/>
      <w:r w:rsidRPr="00521975">
        <w:rPr>
          <w:sz w:val="24"/>
          <w:szCs w:val="24"/>
        </w:rPr>
        <w:t>As</w:t>
      </w:r>
      <w:proofErr w:type="gramEnd"/>
      <w:r w:rsidRPr="00521975">
        <w:rPr>
          <w:sz w:val="24"/>
          <w:szCs w:val="24"/>
        </w:rPr>
        <w:t xml:space="preserve"> Last Year model.</w:t>
      </w:r>
    </w:p>
  </w:endnote>
  <w:endnote w:id="8">
    <w:p w:rsidR="00EF7C26" w:rsidRPr="00521975" w:rsidRDefault="00EF7C26">
      <w:pPr>
        <w:pStyle w:val="EndnoteText"/>
        <w:rPr>
          <w:sz w:val="24"/>
          <w:szCs w:val="24"/>
        </w:rPr>
      </w:pPr>
      <w:r w:rsidRPr="00521975">
        <w:rPr>
          <w:rStyle w:val="EndnoteReference"/>
          <w:sz w:val="24"/>
          <w:szCs w:val="24"/>
        </w:rPr>
        <w:endnoteRef/>
      </w:r>
      <w:r w:rsidRPr="00521975">
        <w:rPr>
          <w:sz w:val="24"/>
          <w:szCs w:val="24"/>
        </w:rPr>
        <w:t xml:space="preserve"> y = a(1+exp(-b(t-c))); a = 1213.26, b = .6964, c = .02125.</w:t>
      </w:r>
    </w:p>
  </w:endnote>
  <w:endnote w:id="9">
    <w:p w:rsidR="00EF7C26" w:rsidRPr="00521975" w:rsidRDefault="00EF7C26">
      <w:pPr>
        <w:pStyle w:val="EndnoteText"/>
        <w:rPr>
          <w:sz w:val="24"/>
          <w:szCs w:val="24"/>
        </w:rPr>
      </w:pPr>
      <w:r w:rsidRPr="00521975">
        <w:rPr>
          <w:rStyle w:val="EndnoteReference"/>
          <w:sz w:val="24"/>
          <w:szCs w:val="24"/>
        </w:rPr>
        <w:endnoteRef/>
      </w:r>
      <w:r w:rsidRPr="00521975">
        <w:rPr>
          <w:sz w:val="24"/>
          <w:szCs w:val="24"/>
        </w:rPr>
        <w:t xml:space="preserve"> Y = a + </w:t>
      </w:r>
      <w:proofErr w:type="spellStart"/>
      <w:r w:rsidRPr="00521975">
        <w:rPr>
          <w:sz w:val="24"/>
          <w:szCs w:val="24"/>
        </w:rPr>
        <w:t>bt</w:t>
      </w:r>
      <w:proofErr w:type="spellEnd"/>
      <w:r w:rsidRPr="00521975">
        <w:rPr>
          <w:sz w:val="24"/>
          <w:szCs w:val="24"/>
        </w:rPr>
        <w:t>; a = 1172.82, b = .3372.</w:t>
      </w:r>
    </w:p>
  </w:endnote>
  <w:endnote w:id="10">
    <w:p w:rsidR="00E76219" w:rsidRPr="00521975" w:rsidRDefault="00E76219">
      <w:pPr>
        <w:pStyle w:val="EndnoteText"/>
        <w:rPr>
          <w:sz w:val="24"/>
          <w:szCs w:val="24"/>
        </w:rPr>
      </w:pPr>
      <w:r w:rsidRPr="00521975">
        <w:rPr>
          <w:rStyle w:val="EndnoteReference"/>
          <w:sz w:val="24"/>
          <w:szCs w:val="24"/>
        </w:rPr>
        <w:endnoteRef/>
      </w:r>
      <w:r w:rsidRPr="00521975">
        <w:rPr>
          <w:sz w:val="24"/>
          <w:szCs w:val="24"/>
        </w:rPr>
        <w:t xml:space="preserve"> 1.4%</w:t>
      </w:r>
    </w:p>
  </w:endnote>
  <w:endnote w:id="11">
    <w:p w:rsidR="00E76219" w:rsidRDefault="00E76219">
      <w:pPr>
        <w:pStyle w:val="EndnoteText"/>
      </w:pPr>
      <w:r w:rsidRPr="00521975">
        <w:rPr>
          <w:rStyle w:val="EndnoteReference"/>
          <w:sz w:val="24"/>
          <w:szCs w:val="24"/>
        </w:rPr>
        <w:endnoteRef/>
      </w:r>
      <w:r w:rsidRPr="00521975">
        <w:rPr>
          <w:sz w:val="24"/>
          <w:szCs w:val="24"/>
        </w:rPr>
        <w:t xml:space="preserve"> $16.42</w:t>
      </w:r>
    </w:p>
  </w:endnote>
  <w:endnote w:id="12">
    <w:p w:rsidR="00985AD5" w:rsidRDefault="00985AD5">
      <w:pPr>
        <w:pStyle w:val="EndnoteText"/>
        <w:rPr>
          <w:sz w:val="24"/>
          <w:szCs w:val="24"/>
        </w:rPr>
      </w:pPr>
      <w:r>
        <w:rPr>
          <w:rStyle w:val="EndnoteReference"/>
        </w:rPr>
        <w:endnoteRef/>
      </w:r>
      <w:r>
        <w:t xml:space="preserve"> </w:t>
      </w:r>
      <w:r w:rsidRPr="00985AD5">
        <w:rPr>
          <w:sz w:val="24"/>
          <w:szCs w:val="24"/>
        </w:rPr>
        <w:t>1.54%</w:t>
      </w:r>
    </w:p>
    <w:p w:rsidR="00297101" w:rsidRDefault="00297101">
      <w:pPr>
        <w:pStyle w:val="EndnoteText"/>
        <w:rPr>
          <w:sz w:val="24"/>
          <w:szCs w:val="24"/>
        </w:rPr>
      </w:pPr>
    </w:p>
    <w:p w:rsidR="009216F6" w:rsidRPr="001515E3" w:rsidRDefault="009216F6" w:rsidP="001515E3">
      <w:pPr>
        <w:pStyle w:val="Title"/>
        <w:jc w:val="center"/>
        <w:rPr>
          <w:b/>
        </w:rPr>
      </w:pPr>
      <w:r w:rsidRPr="001515E3">
        <w:rPr>
          <w:b/>
        </w:rPr>
        <w:t>Contact Info:</w:t>
      </w:r>
    </w:p>
    <w:p w:rsidR="009216F6" w:rsidRDefault="009216F6" w:rsidP="001515E3">
      <w:pPr>
        <w:pStyle w:val="EndnoteText"/>
        <w:jc w:val="center"/>
      </w:pPr>
      <w:bookmarkStart w:id="20" w:name="_GoBack"/>
      <w:bookmarkEnd w:id="20"/>
    </w:p>
    <w:p w:rsidR="009216F6" w:rsidRPr="001515E3" w:rsidRDefault="009216F6" w:rsidP="001515E3">
      <w:pPr>
        <w:pStyle w:val="EndnoteText"/>
        <w:jc w:val="center"/>
        <w:rPr>
          <w:sz w:val="28"/>
          <w:szCs w:val="28"/>
        </w:rPr>
      </w:pPr>
      <w:r w:rsidRPr="001515E3">
        <w:rPr>
          <w:sz w:val="28"/>
          <w:szCs w:val="28"/>
        </w:rPr>
        <w:t>Gabriel Froymovich</w:t>
      </w:r>
    </w:p>
    <w:p w:rsidR="009216F6" w:rsidRPr="001515E3" w:rsidRDefault="009216F6" w:rsidP="001515E3">
      <w:pPr>
        <w:pStyle w:val="EndnoteText"/>
        <w:jc w:val="center"/>
        <w:rPr>
          <w:sz w:val="28"/>
          <w:szCs w:val="28"/>
        </w:rPr>
      </w:pPr>
      <w:r w:rsidRPr="001515E3">
        <w:rPr>
          <w:sz w:val="28"/>
          <w:szCs w:val="28"/>
        </w:rPr>
        <w:t>Vineyard Financial Associates</w:t>
      </w:r>
    </w:p>
    <w:p w:rsidR="009216F6" w:rsidRPr="001515E3" w:rsidRDefault="009216F6" w:rsidP="001515E3">
      <w:pPr>
        <w:pStyle w:val="EndnoteText"/>
        <w:jc w:val="center"/>
        <w:rPr>
          <w:sz w:val="28"/>
          <w:szCs w:val="28"/>
        </w:rPr>
      </w:pPr>
      <w:r w:rsidRPr="001515E3">
        <w:rPr>
          <w:sz w:val="28"/>
          <w:szCs w:val="28"/>
        </w:rPr>
        <w:t>17470 Healdsburg Ave, Healdsburg CA 95448</w:t>
      </w:r>
    </w:p>
    <w:p w:rsidR="009216F6" w:rsidRPr="001515E3" w:rsidRDefault="009216F6" w:rsidP="001515E3">
      <w:pPr>
        <w:pStyle w:val="EndnoteText"/>
        <w:jc w:val="center"/>
        <w:rPr>
          <w:sz w:val="28"/>
          <w:szCs w:val="28"/>
        </w:rPr>
      </w:pPr>
      <w:r w:rsidRPr="001515E3">
        <w:rPr>
          <w:sz w:val="28"/>
          <w:szCs w:val="28"/>
        </w:rPr>
        <w:t>707-395-4301</w:t>
      </w:r>
    </w:p>
    <w:p w:rsidR="009216F6" w:rsidRPr="001515E3" w:rsidRDefault="009216F6" w:rsidP="001515E3">
      <w:pPr>
        <w:pStyle w:val="EndnoteText"/>
        <w:jc w:val="center"/>
        <w:rPr>
          <w:sz w:val="28"/>
          <w:szCs w:val="28"/>
        </w:rPr>
      </w:pPr>
      <w:r w:rsidRPr="001515E3">
        <w:rPr>
          <w:sz w:val="28"/>
          <w:szCs w:val="28"/>
        </w:rPr>
        <w:t>VineyardFinancialAssociates@gmail.com</w:t>
      </w:r>
    </w:p>
    <w:p w:rsidR="009216F6" w:rsidRPr="001515E3" w:rsidRDefault="009216F6" w:rsidP="001515E3">
      <w:pPr>
        <w:pStyle w:val="EndnoteText"/>
        <w:jc w:val="center"/>
        <w:rPr>
          <w:sz w:val="28"/>
          <w:szCs w:val="28"/>
        </w:rPr>
      </w:pPr>
      <w:r w:rsidRPr="001515E3">
        <w:rPr>
          <w:sz w:val="28"/>
          <w:szCs w:val="28"/>
        </w:rPr>
        <w:t>www.VineyardFinancialAssociates.com</w:t>
      </w:r>
    </w:p>
    <w:p w:rsidR="009216F6" w:rsidRPr="001515E3" w:rsidRDefault="009216F6" w:rsidP="001515E3">
      <w:pPr>
        <w:pStyle w:val="EndnoteText"/>
        <w:jc w:val="center"/>
        <w:rPr>
          <w:sz w:val="28"/>
          <w:szCs w:val="28"/>
        </w:rPr>
      </w:pPr>
      <w:r w:rsidRPr="001515E3">
        <w:rPr>
          <w:sz w:val="28"/>
          <w:szCs w:val="28"/>
        </w:rPr>
        <w:t>Twitter: @</w:t>
      </w:r>
      <w:proofErr w:type="spellStart"/>
      <w:r w:rsidRPr="001515E3">
        <w:rPr>
          <w:sz w:val="28"/>
          <w:szCs w:val="28"/>
        </w:rPr>
        <w:t>VFA_Consulting</w:t>
      </w:r>
      <w:proofErr w:type="spellEnd"/>
    </w:p>
    <w:p w:rsidR="009216F6" w:rsidRPr="001515E3" w:rsidRDefault="009216F6" w:rsidP="009216F6">
      <w:pPr>
        <w:pStyle w:val="EndnoteText"/>
        <w:rPr>
          <w:sz w:val="28"/>
          <w:szCs w:val="28"/>
        </w:rPr>
      </w:pPr>
    </w:p>
    <w:p w:rsidR="009216F6" w:rsidRDefault="009216F6" w:rsidP="009216F6">
      <w:pPr>
        <w:pStyle w:val="EndnoteText"/>
      </w:pPr>
    </w:p>
    <w:p w:rsidR="009216F6" w:rsidRDefault="009216F6" w:rsidP="009216F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F77" w:rsidRDefault="00926F77" w:rsidP="0072458A">
      <w:pPr>
        <w:spacing w:after="0" w:line="240" w:lineRule="auto"/>
      </w:pPr>
      <w:r>
        <w:separator/>
      </w:r>
    </w:p>
  </w:footnote>
  <w:footnote w:type="continuationSeparator" w:id="0">
    <w:p w:rsidR="00926F77" w:rsidRDefault="00926F77" w:rsidP="0072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5E3" w:rsidRPr="001515E3" w:rsidRDefault="001515E3">
    <w:pPr>
      <w:pStyle w:val="Header"/>
      <w:rPr>
        <w:sz w:val="20"/>
        <w:szCs w:val="20"/>
      </w:rPr>
    </w:pPr>
    <w:r w:rsidRPr="001515E3">
      <w:rPr>
        <w:sz w:val="20"/>
        <w:szCs w:val="20"/>
      </w:rPr>
      <w:t xml:space="preserve">Vineyard Financial Associates, Healdsburg, CA | 707-395-4301 | </w:t>
    </w:r>
    <w:hyperlink r:id="rId1" w:history="1">
      <w:r w:rsidRPr="001515E3">
        <w:rPr>
          <w:rStyle w:val="Hyperlink"/>
          <w:sz w:val="20"/>
          <w:szCs w:val="20"/>
        </w:rPr>
        <w:t>VineyardFinancialAssociates@gmail.com</w:t>
      </w:r>
    </w:hyperlink>
    <w:r w:rsidRPr="001515E3">
      <w:rPr>
        <w:sz w:val="20"/>
        <w:szCs w:val="20"/>
      </w:rPr>
      <w:t xml:space="preserve"> | @</w:t>
    </w:r>
    <w:proofErr w:type="spellStart"/>
    <w:r w:rsidRPr="001515E3">
      <w:rPr>
        <w:sz w:val="20"/>
        <w:szCs w:val="20"/>
      </w:rPr>
      <w:t>VFA_Consulting</w:t>
    </w:r>
    <w:proofErr w:type="spellEnd"/>
  </w:p>
  <w:p w:rsidR="001515E3" w:rsidRDefault="00151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B450E1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10138FC"/>
    <w:multiLevelType w:val="hybridMultilevel"/>
    <w:tmpl w:val="A9BC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84"/>
    <w:rsid w:val="00041F53"/>
    <w:rsid w:val="000F0F66"/>
    <w:rsid w:val="000F4BBA"/>
    <w:rsid w:val="00127F8C"/>
    <w:rsid w:val="001340B5"/>
    <w:rsid w:val="001515E3"/>
    <w:rsid w:val="00185AE3"/>
    <w:rsid w:val="001C2F1A"/>
    <w:rsid w:val="001D70F8"/>
    <w:rsid w:val="00206DC2"/>
    <w:rsid w:val="002469D2"/>
    <w:rsid w:val="0025163E"/>
    <w:rsid w:val="00266A5E"/>
    <w:rsid w:val="00286CA6"/>
    <w:rsid w:val="00297028"/>
    <w:rsid w:val="00297101"/>
    <w:rsid w:val="002D19B2"/>
    <w:rsid w:val="00341E2C"/>
    <w:rsid w:val="00351373"/>
    <w:rsid w:val="003546F8"/>
    <w:rsid w:val="0036503E"/>
    <w:rsid w:val="003E7C0D"/>
    <w:rsid w:val="00407527"/>
    <w:rsid w:val="00412458"/>
    <w:rsid w:val="00412C9E"/>
    <w:rsid w:val="0042315E"/>
    <w:rsid w:val="004F2F0C"/>
    <w:rsid w:val="00521975"/>
    <w:rsid w:val="00522388"/>
    <w:rsid w:val="005D3D4F"/>
    <w:rsid w:val="005F10DC"/>
    <w:rsid w:val="00637DA0"/>
    <w:rsid w:val="006B5DFF"/>
    <w:rsid w:val="006B5F3A"/>
    <w:rsid w:val="00724312"/>
    <w:rsid w:val="0072458A"/>
    <w:rsid w:val="00731ADA"/>
    <w:rsid w:val="00754839"/>
    <w:rsid w:val="00757404"/>
    <w:rsid w:val="007645B7"/>
    <w:rsid w:val="00772846"/>
    <w:rsid w:val="0081722D"/>
    <w:rsid w:val="00820B4F"/>
    <w:rsid w:val="008447D5"/>
    <w:rsid w:val="008539B3"/>
    <w:rsid w:val="00861815"/>
    <w:rsid w:val="009216F6"/>
    <w:rsid w:val="00926F77"/>
    <w:rsid w:val="00933835"/>
    <w:rsid w:val="00940600"/>
    <w:rsid w:val="00985AD5"/>
    <w:rsid w:val="00986267"/>
    <w:rsid w:val="009D5CA1"/>
    <w:rsid w:val="009E4133"/>
    <w:rsid w:val="00AB69C0"/>
    <w:rsid w:val="00AE2AFD"/>
    <w:rsid w:val="00B13A24"/>
    <w:rsid w:val="00B221FD"/>
    <w:rsid w:val="00B44CF5"/>
    <w:rsid w:val="00B8295E"/>
    <w:rsid w:val="00BB2397"/>
    <w:rsid w:val="00C302F2"/>
    <w:rsid w:val="00C47794"/>
    <w:rsid w:val="00C67967"/>
    <w:rsid w:val="00C70E59"/>
    <w:rsid w:val="00C97284"/>
    <w:rsid w:val="00DA7458"/>
    <w:rsid w:val="00DB5D30"/>
    <w:rsid w:val="00DC7144"/>
    <w:rsid w:val="00E62352"/>
    <w:rsid w:val="00E635D2"/>
    <w:rsid w:val="00E66B86"/>
    <w:rsid w:val="00E76219"/>
    <w:rsid w:val="00E8373D"/>
    <w:rsid w:val="00EC2886"/>
    <w:rsid w:val="00EF7C26"/>
    <w:rsid w:val="00F20A40"/>
    <w:rsid w:val="00F32A7F"/>
    <w:rsid w:val="00F42973"/>
    <w:rsid w:val="00FA4381"/>
    <w:rsid w:val="00FB7B89"/>
    <w:rsid w:val="00FD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C65C"/>
  <w15:chartTrackingRefBased/>
  <w15:docId w15:val="{B9ABB4D6-06D4-44EA-B65F-2200A560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284"/>
  </w:style>
  <w:style w:type="paragraph" w:styleId="Heading1">
    <w:name w:val="heading 1"/>
    <w:basedOn w:val="Normal"/>
    <w:next w:val="Normal"/>
    <w:link w:val="Heading1Char"/>
    <w:uiPriority w:val="9"/>
    <w:qFormat/>
    <w:rsid w:val="00C97284"/>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C97284"/>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97284"/>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97284"/>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97284"/>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97284"/>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97284"/>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7284"/>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7284"/>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28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C9728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C9728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9728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9728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9728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972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72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728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85AE3"/>
    <w:pPr>
      <w:spacing w:after="200" w:line="240" w:lineRule="auto"/>
    </w:pPr>
    <w:rPr>
      <w:i/>
      <w:iCs/>
      <w:color w:val="44546A" w:themeColor="text2"/>
      <w:sz w:val="24"/>
      <w:szCs w:val="18"/>
    </w:rPr>
  </w:style>
  <w:style w:type="paragraph" w:styleId="Title">
    <w:name w:val="Title"/>
    <w:basedOn w:val="Normal"/>
    <w:next w:val="Normal"/>
    <w:link w:val="TitleChar"/>
    <w:uiPriority w:val="10"/>
    <w:qFormat/>
    <w:rsid w:val="00C9728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97284"/>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9728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97284"/>
    <w:rPr>
      <w:color w:val="5A5A5A" w:themeColor="text1" w:themeTint="A5"/>
      <w:spacing w:val="10"/>
    </w:rPr>
  </w:style>
  <w:style w:type="character" w:styleId="Strong">
    <w:name w:val="Strong"/>
    <w:basedOn w:val="DefaultParagraphFont"/>
    <w:uiPriority w:val="22"/>
    <w:qFormat/>
    <w:rsid w:val="00C97284"/>
    <w:rPr>
      <w:b/>
      <w:bCs/>
      <w:color w:val="000000" w:themeColor="text1"/>
    </w:rPr>
  </w:style>
  <w:style w:type="character" w:styleId="Emphasis">
    <w:name w:val="Emphasis"/>
    <w:basedOn w:val="DefaultParagraphFont"/>
    <w:uiPriority w:val="20"/>
    <w:qFormat/>
    <w:rsid w:val="00C97284"/>
    <w:rPr>
      <w:i/>
      <w:iCs/>
      <w:color w:val="auto"/>
    </w:rPr>
  </w:style>
  <w:style w:type="paragraph" w:styleId="NoSpacing">
    <w:name w:val="No Spacing"/>
    <w:uiPriority w:val="1"/>
    <w:qFormat/>
    <w:rsid w:val="00C97284"/>
    <w:pPr>
      <w:spacing w:after="0" w:line="240" w:lineRule="auto"/>
    </w:pPr>
  </w:style>
  <w:style w:type="paragraph" w:styleId="Quote">
    <w:name w:val="Quote"/>
    <w:basedOn w:val="Normal"/>
    <w:next w:val="Normal"/>
    <w:link w:val="QuoteChar"/>
    <w:uiPriority w:val="29"/>
    <w:qFormat/>
    <w:rsid w:val="00C97284"/>
    <w:pPr>
      <w:spacing w:before="160"/>
      <w:ind w:left="720" w:right="720"/>
    </w:pPr>
    <w:rPr>
      <w:i/>
      <w:iCs/>
      <w:color w:val="000000" w:themeColor="text1"/>
    </w:rPr>
  </w:style>
  <w:style w:type="character" w:customStyle="1" w:styleId="QuoteChar">
    <w:name w:val="Quote Char"/>
    <w:basedOn w:val="DefaultParagraphFont"/>
    <w:link w:val="Quote"/>
    <w:uiPriority w:val="29"/>
    <w:rsid w:val="00C97284"/>
    <w:rPr>
      <w:i/>
      <w:iCs/>
      <w:color w:val="000000" w:themeColor="text1"/>
    </w:rPr>
  </w:style>
  <w:style w:type="paragraph" w:styleId="IntenseQuote">
    <w:name w:val="Intense Quote"/>
    <w:basedOn w:val="Normal"/>
    <w:next w:val="Normal"/>
    <w:link w:val="IntenseQuoteChar"/>
    <w:uiPriority w:val="30"/>
    <w:qFormat/>
    <w:rsid w:val="00C9728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97284"/>
    <w:rPr>
      <w:color w:val="000000" w:themeColor="text1"/>
      <w:shd w:val="clear" w:color="auto" w:fill="F2F2F2" w:themeFill="background1" w:themeFillShade="F2"/>
    </w:rPr>
  </w:style>
  <w:style w:type="character" w:styleId="SubtleEmphasis">
    <w:name w:val="Subtle Emphasis"/>
    <w:basedOn w:val="DefaultParagraphFont"/>
    <w:uiPriority w:val="19"/>
    <w:qFormat/>
    <w:rsid w:val="00C97284"/>
    <w:rPr>
      <w:i/>
      <w:iCs/>
      <w:color w:val="404040" w:themeColor="text1" w:themeTint="BF"/>
    </w:rPr>
  </w:style>
  <w:style w:type="character" w:styleId="IntenseEmphasis">
    <w:name w:val="Intense Emphasis"/>
    <w:basedOn w:val="DefaultParagraphFont"/>
    <w:uiPriority w:val="21"/>
    <w:qFormat/>
    <w:rsid w:val="00C97284"/>
    <w:rPr>
      <w:b/>
      <w:bCs/>
      <w:i/>
      <w:iCs/>
      <w:caps/>
    </w:rPr>
  </w:style>
  <w:style w:type="character" w:styleId="SubtleReference">
    <w:name w:val="Subtle Reference"/>
    <w:basedOn w:val="DefaultParagraphFont"/>
    <w:uiPriority w:val="31"/>
    <w:qFormat/>
    <w:rsid w:val="00C9728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97284"/>
    <w:rPr>
      <w:b/>
      <w:bCs/>
      <w:smallCaps/>
      <w:u w:val="single"/>
    </w:rPr>
  </w:style>
  <w:style w:type="character" w:styleId="BookTitle">
    <w:name w:val="Book Title"/>
    <w:basedOn w:val="DefaultParagraphFont"/>
    <w:uiPriority w:val="33"/>
    <w:qFormat/>
    <w:rsid w:val="00C97284"/>
    <w:rPr>
      <w:b w:val="0"/>
      <w:bCs w:val="0"/>
      <w:smallCaps/>
      <w:spacing w:val="5"/>
    </w:rPr>
  </w:style>
  <w:style w:type="paragraph" w:styleId="TOCHeading">
    <w:name w:val="TOC Heading"/>
    <w:basedOn w:val="Heading1"/>
    <w:next w:val="Normal"/>
    <w:uiPriority w:val="39"/>
    <w:unhideWhenUsed/>
    <w:qFormat/>
    <w:rsid w:val="00C97284"/>
    <w:pPr>
      <w:outlineLvl w:val="9"/>
    </w:pPr>
  </w:style>
  <w:style w:type="character" w:styleId="Hyperlink">
    <w:name w:val="Hyperlink"/>
    <w:basedOn w:val="DefaultParagraphFont"/>
    <w:uiPriority w:val="99"/>
    <w:unhideWhenUsed/>
    <w:rsid w:val="00F20A40"/>
    <w:rPr>
      <w:color w:val="0563C1" w:themeColor="hyperlink"/>
      <w:u w:val="single"/>
    </w:rPr>
  </w:style>
  <w:style w:type="character" w:styleId="UnresolvedMention">
    <w:name w:val="Unresolved Mention"/>
    <w:basedOn w:val="DefaultParagraphFont"/>
    <w:uiPriority w:val="99"/>
    <w:semiHidden/>
    <w:unhideWhenUsed/>
    <w:rsid w:val="00F20A40"/>
    <w:rPr>
      <w:color w:val="808080"/>
      <w:shd w:val="clear" w:color="auto" w:fill="E6E6E6"/>
    </w:rPr>
  </w:style>
  <w:style w:type="table" w:styleId="ListTable6Colorful-Accent2">
    <w:name w:val="List Table 6 Colorful Accent 2"/>
    <w:basedOn w:val="TableNormal"/>
    <w:uiPriority w:val="51"/>
    <w:rsid w:val="00127F8C"/>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940600"/>
    <w:pPr>
      <w:ind w:left="720"/>
      <w:contextualSpacing/>
    </w:pPr>
  </w:style>
  <w:style w:type="paragraph" w:styleId="FootnoteText">
    <w:name w:val="footnote text"/>
    <w:basedOn w:val="Normal"/>
    <w:link w:val="FootnoteTextChar"/>
    <w:uiPriority w:val="99"/>
    <w:semiHidden/>
    <w:unhideWhenUsed/>
    <w:rsid w:val="00724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58A"/>
    <w:rPr>
      <w:sz w:val="20"/>
      <w:szCs w:val="20"/>
    </w:rPr>
  </w:style>
  <w:style w:type="character" w:styleId="FootnoteReference">
    <w:name w:val="footnote reference"/>
    <w:basedOn w:val="DefaultParagraphFont"/>
    <w:uiPriority w:val="99"/>
    <w:semiHidden/>
    <w:unhideWhenUsed/>
    <w:rsid w:val="0072458A"/>
    <w:rPr>
      <w:vertAlign w:val="superscript"/>
    </w:rPr>
  </w:style>
  <w:style w:type="paragraph" w:styleId="EndnoteText">
    <w:name w:val="endnote text"/>
    <w:basedOn w:val="Normal"/>
    <w:link w:val="EndnoteTextChar"/>
    <w:uiPriority w:val="99"/>
    <w:semiHidden/>
    <w:unhideWhenUsed/>
    <w:rsid w:val="007245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458A"/>
    <w:rPr>
      <w:sz w:val="20"/>
      <w:szCs w:val="20"/>
    </w:rPr>
  </w:style>
  <w:style w:type="character" w:styleId="EndnoteReference">
    <w:name w:val="endnote reference"/>
    <w:basedOn w:val="DefaultParagraphFont"/>
    <w:uiPriority w:val="99"/>
    <w:semiHidden/>
    <w:unhideWhenUsed/>
    <w:rsid w:val="0072458A"/>
    <w:rPr>
      <w:vertAlign w:val="superscript"/>
    </w:rPr>
  </w:style>
  <w:style w:type="table" w:styleId="GridTable2-Accent2">
    <w:name w:val="Grid Table 2 Accent 2"/>
    <w:basedOn w:val="TableNormal"/>
    <w:uiPriority w:val="47"/>
    <w:rsid w:val="00B13A2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C302F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297101"/>
    <w:pPr>
      <w:spacing w:after="100"/>
    </w:pPr>
  </w:style>
  <w:style w:type="paragraph" w:styleId="TOC2">
    <w:name w:val="toc 2"/>
    <w:basedOn w:val="Normal"/>
    <w:next w:val="Normal"/>
    <w:autoRedefine/>
    <w:uiPriority w:val="39"/>
    <w:unhideWhenUsed/>
    <w:rsid w:val="00297101"/>
    <w:pPr>
      <w:spacing w:after="100"/>
      <w:ind w:left="220"/>
    </w:pPr>
  </w:style>
  <w:style w:type="paragraph" w:styleId="Header">
    <w:name w:val="header"/>
    <w:basedOn w:val="Normal"/>
    <w:link w:val="HeaderChar"/>
    <w:uiPriority w:val="99"/>
    <w:unhideWhenUsed/>
    <w:rsid w:val="00151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5E3"/>
  </w:style>
  <w:style w:type="paragraph" w:styleId="Footer">
    <w:name w:val="footer"/>
    <w:basedOn w:val="Normal"/>
    <w:link w:val="FooterChar"/>
    <w:uiPriority w:val="99"/>
    <w:unhideWhenUsed/>
    <w:rsid w:val="00151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9269">
      <w:bodyDiv w:val="1"/>
      <w:marLeft w:val="0"/>
      <w:marRight w:val="0"/>
      <w:marTop w:val="0"/>
      <w:marBottom w:val="0"/>
      <w:divBdr>
        <w:top w:val="none" w:sz="0" w:space="0" w:color="auto"/>
        <w:left w:val="none" w:sz="0" w:space="0" w:color="auto"/>
        <w:bottom w:val="none" w:sz="0" w:space="0" w:color="auto"/>
        <w:right w:val="none" w:sz="0" w:space="0" w:color="auto"/>
      </w:divBdr>
    </w:div>
    <w:div w:id="166023973">
      <w:bodyDiv w:val="1"/>
      <w:marLeft w:val="0"/>
      <w:marRight w:val="0"/>
      <w:marTop w:val="0"/>
      <w:marBottom w:val="0"/>
      <w:divBdr>
        <w:top w:val="none" w:sz="0" w:space="0" w:color="auto"/>
        <w:left w:val="none" w:sz="0" w:space="0" w:color="auto"/>
        <w:bottom w:val="none" w:sz="0" w:space="0" w:color="auto"/>
        <w:right w:val="none" w:sz="0" w:space="0" w:color="auto"/>
      </w:divBdr>
    </w:div>
    <w:div w:id="195507345">
      <w:bodyDiv w:val="1"/>
      <w:marLeft w:val="0"/>
      <w:marRight w:val="0"/>
      <w:marTop w:val="0"/>
      <w:marBottom w:val="0"/>
      <w:divBdr>
        <w:top w:val="none" w:sz="0" w:space="0" w:color="auto"/>
        <w:left w:val="none" w:sz="0" w:space="0" w:color="auto"/>
        <w:bottom w:val="none" w:sz="0" w:space="0" w:color="auto"/>
        <w:right w:val="none" w:sz="0" w:space="0" w:color="auto"/>
      </w:divBdr>
    </w:div>
    <w:div w:id="229312736">
      <w:bodyDiv w:val="1"/>
      <w:marLeft w:val="0"/>
      <w:marRight w:val="0"/>
      <w:marTop w:val="0"/>
      <w:marBottom w:val="0"/>
      <w:divBdr>
        <w:top w:val="none" w:sz="0" w:space="0" w:color="auto"/>
        <w:left w:val="none" w:sz="0" w:space="0" w:color="auto"/>
        <w:bottom w:val="none" w:sz="0" w:space="0" w:color="auto"/>
        <w:right w:val="none" w:sz="0" w:space="0" w:color="auto"/>
      </w:divBdr>
    </w:div>
    <w:div w:id="375668190">
      <w:bodyDiv w:val="1"/>
      <w:marLeft w:val="0"/>
      <w:marRight w:val="0"/>
      <w:marTop w:val="0"/>
      <w:marBottom w:val="0"/>
      <w:divBdr>
        <w:top w:val="none" w:sz="0" w:space="0" w:color="auto"/>
        <w:left w:val="none" w:sz="0" w:space="0" w:color="auto"/>
        <w:bottom w:val="none" w:sz="0" w:space="0" w:color="auto"/>
        <w:right w:val="none" w:sz="0" w:space="0" w:color="auto"/>
      </w:divBdr>
    </w:div>
    <w:div w:id="566383317">
      <w:bodyDiv w:val="1"/>
      <w:marLeft w:val="0"/>
      <w:marRight w:val="0"/>
      <w:marTop w:val="0"/>
      <w:marBottom w:val="0"/>
      <w:divBdr>
        <w:top w:val="none" w:sz="0" w:space="0" w:color="auto"/>
        <w:left w:val="none" w:sz="0" w:space="0" w:color="auto"/>
        <w:bottom w:val="none" w:sz="0" w:space="0" w:color="auto"/>
        <w:right w:val="none" w:sz="0" w:space="0" w:color="auto"/>
      </w:divBdr>
    </w:div>
    <w:div w:id="1209340719">
      <w:bodyDiv w:val="1"/>
      <w:marLeft w:val="0"/>
      <w:marRight w:val="0"/>
      <w:marTop w:val="0"/>
      <w:marBottom w:val="0"/>
      <w:divBdr>
        <w:top w:val="none" w:sz="0" w:space="0" w:color="auto"/>
        <w:left w:val="none" w:sz="0" w:space="0" w:color="auto"/>
        <w:bottom w:val="none" w:sz="0" w:space="0" w:color="auto"/>
        <w:right w:val="none" w:sz="0" w:space="0" w:color="auto"/>
      </w:divBdr>
    </w:div>
    <w:div w:id="1229806781">
      <w:bodyDiv w:val="1"/>
      <w:marLeft w:val="0"/>
      <w:marRight w:val="0"/>
      <w:marTop w:val="0"/>
      <w:marBottom w:val="0"/>
      <w:divBdr>
        <w:top w:val="none" w:sz="0" w:space="0" w:color="auto"/>
        <w:left w:val="none" w:sz="0" w:space="0" w:color="auto"/>
        <w:bottom w:val="none" w:sz="0" w:space="0" w:color="auto"/>
        <w:right w:val="none" w:sz="0" w:space="0" w:color="auto"/>
      </w:divBdr>
    </w:div>
    <w:div w:id="1340427009">
      <w:bodyDiv w:val="1"/>
      <w:marLeft w:val="0"/>
      <w:marRight w:val="0"/>
      <w:marTop w:val="0"/>
      <w:marBottom w:val="0"/>
      <w:divBdr>
        <w:top w:val="none" w:sz="0" w:space="0" w:color="auto"/>
        <w:left w:val="none" w:sz="0" w:space="0" w:color="auto"/>
        <w:bottom w:val="none" w:sz="0" w:space="0" w:color="auto"/>
        <w:right w:val="none" w:sz="0" w:space="0" w:color="auto"/>
      </w:divBdr>
    </w:div>
    <w:div w:id="1347366616">
      <w:bodyDiv w:val="1"/>
      <w:marLeft w:val="0"/>
      <w:marRight w:val="0"/>
      <w:marTop w:val="0"/>
      <w:marBottom w:val="0"/>
      <w:divBdr>
        <w:top w:val="none" w:sz="0" w:space="0" w:color="auto"/>
        <w:left w:val="none" w:sz="0" w:space="0" w:color="auto"/>
        <w:bottom w:val="none" w:sz="0" w:space="0" w:color="auto"/>
        <w:right w:val="none" w:sz="0" w:space="0" w:color="auto"/>
      </w:divBdr>
    </w:div>
    <w:div w:id="1442843737">
      <w:bodyDiv w:val="1"/>
      <w:marLeft w:val="0"/>
      <w:marRight w:val="0"/>
      <w:marTop w:val="0"/>
      <w:marBottom w:val="0"/>
      <w:divBdr>
        <w:top w:val="none" w:sz="0" w:space="0" w:color="auto"/>
        <w:left w:val="none" w:sz="0" w:space="0" w:color="auto"/>
        <w:bottom w:val="none" w:sz="0" w:space="0" w:color="auto"/>
        <w:right w:val="none" w:sz="0" w:space="0" w:color="auto"/>
      </w:divBdr>
    </w:div>
    <w:div w:id="1596548122">
      <w:bodyDiv w:val="1"/>
      <w:marLeft w:val="0"/>
      <w:marRight w:val="0"/>
      <w:marTop w:val="0"/>
      <w:marBottom w:val="0"/>
      <w:divBdr>
        <w:top w:val="none" w:sz="0" w:space="0" w:color="auto"/>
        <w:left w:val="none" w:sz="0" w:space="0" w:color="auto"/>
        <w:bottom w:val="none" w:sz="0" w:space="0" w:color="auto"/>
        <w:right w:val="none" w:sz="0" w:space="0" w:color="auto"/>
      </w:divBdr>
    </w:div>
    <w:div w:id="1804425173">
      <w:bodyDiv w:val="1"/>
      <w:marLeft w:val="0"/>
      <w:marRight w:val="0"/>
      <w:marTop w:val="0"/>
      <w:marBottom w:val="0"/>
      <w:divBdr>
        <w:top w:val="none" w:sz="0" w:space="0" w:color="auto"/>
        <w:left w:val="none" w:sz="0" w:space="0" w:color="auto"/>
        <w:bottom w:val="none" w:sz="0" w:space="0" w:color="auto"/>
        <w:right w:val="none" w:sz="0" w:space="0" w:color="auto"/>
      </w:divBdr>
    </w:div>
    <w:div w:id="1902328437">
      <w:bodyDiv w:val="1"/>
      <w:marLeft w:val="0"/>
      <w:marRight w:val="0"/>
      <w:marTop w:val="0"/>
      <w:marBottom w:val="0"/>
      <w:divBdr>
        <w:top w:val="none" w:sz="0" w:space="0" w:color="auto"/>
        <w:left w:val="none" w:sz="0" w:space="0" w:color="auto"/>
        <w:bottom w:val="none" w:sz="0" w:space="0" w:color="auto"/>
        <w:right w:val="none" w:sz="0" w:space="0" w:color="auto"/>
      </w:divBdr>
    </w:div>
    <w:div w:id="203576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eyardfinancialassociates.com/blog/tag/cognitive%20biases" TargetMode="External"/><Relationship Id="rId13" Type="http://schemas.openxmlformats.org/officeDocument/2006/relationships/hyperlink" Target="https://en.wikipedia.org/wiki/Sample_size_determination" TargetMode="External"/><Relationship Id="rId18" Type="http://schemas.openxmlformats.org/officeDocument/2006/relationships/hyperlink" Target="https://en.wikipedia.org/wiki/Mean_absolute_percentage_error"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en.wikipedia.org/wiki/Ljung%E2%80%93Box_test" TargetMode="External"/><Relationship Id="rId7" Type="http://schemas.openxmlformats.org/officeDocument/2006/relationships/endnotes" Target="endnotes.xml"/><Relationship Id="rId12" Type="http://schemas.openxmlformats.org/officeDocument/2006/relationships/hyperlink" Target="https://en.wikipedia.org/wiki/P-value" TargetMode="External"/><Relationship Id="rId17" Type="http://schemas.openxmlformats.org/officeDocument/2006/relationships/hyperlink" Target="https://en.wikipedia.org/wiki/Forecast_erro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Durbin%E2%80%93Watson_statistic" TargetMode="External"/><Relationship Id="rId20" Type="http://schemas.openxmlformats.org/officeDocument/2006/relationships/hyperlink" Target="https://en.wikipedia.org/wiki/Standard_devi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www.vineyardfinancialassociates.com/single-post/2018/07/09/Some-Big-Picture-Thoughts-on-Where-Our-Industry-is-Heading-in-the-Next-Few-Years" TargetMode="External"/><Relationship Id="rId5" Type="http://schemas.openxmlformats.org/officeDocument/2006/relationships/webSettings" Target="webSettings.xml"/><Relationship Id="rId15" Type="http://schemas.openxmlformats.org/officeDocument/2006/relationships/hyperlink" Target="https://en.wikipedia.org/wiki/Coefficient_of_determination%23Adjusted_R2" TargetMode="External"/><Relationship Id="rId23" Type="http://schemas.openxmlformats.org/officeDocument/2006/relationships/hyperlink" Target="https://en.wikipedia.org/wiki/Average_absolute_deviation" TargetMode="External"/><Relationship Id="rId28" Type="http://schemas.openxmlformats.org/officeDocument/2006/relationships/glossaryDocument" Target="glossary/document.xml"/><Relationship Id="rId10" Type="http://schemas.openxmlformats.org/officeDocument/2006/relationships/chart" Target="charts/chart1.xml"/><Relationship Id="rId19" Type="http://schemas.openxmlformats.org/officeDocument/2006/relationships/hyperlink" Target="https://en.wikipedia.org/wiki/Root-mean-square_deviation" TargetMode="External"/><Relationship Id="rId4" Type="http://schemas.openxmlformats.org/officeDocument/2006/relationships/settings" Target="settings.xml"/><Relationship Id="rId9" Type="http://schemas.openxmlformats.org/officeDocument/2006/relationships/hyperlink" Target="https://www.vineyardfinancialassociates.com/blog/tag/cognitive%20biases" TargetMode="External"/><Relationship Id="rId14" Type="http://schemas.openxmlformats.org/officeDocument/2006/relationships/hyperlink" Target="https://en.wikipedia.org/wiki/Mean" TargetMode="External"/><Relationship Id="rId22" Type="http://schemas.openxmlformats.org/officeDocument/2006/relationships/hyperlink" Target="https://en.wikipedia.org/wiki/Bayesian_information_criterion"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alliedgrapegrowers.org/present.html" TargetMode="External"/><Relationship Id="rId1" Type="http://schemas.openxmlformats.org/officeDocument/2006/relationships/hyperlink" Target="https://www.philadelphiafed.org/research-and-data/real-time-center/livingston-survey"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VineyardFinancialAssociates@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Core\VFA\Trove\Forecasts\TW\Wsh\ForecastPro\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Core\VFA\Trove\Forecasts\TW\Wsh\ForecastPro\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'Final PI'!$G$2</c:f>
              <c:strCache>
                <c:ptCount val="1"/>
                <c:pt idx="0">
                  <c:v>2.5 Lower</c:v>
                </c:pt>
              </c:strCache>
            </c:strRef>
          </c:tx>
          <c:spPr>
            <a:ln w="22225" cap="rnd">
              <a:solidFill>
                <a:srgbClr val="C00000"/>
              </a:solidFill>
            </a:ln>
            <a:effectLst>
              <a:glow rad="139700">
                <a:schemeClr val="accent1">
                  <a:satMod val="175000"/>
                  <a:alpha val="14000"/>
                </a:schemeClr>
              </a:glow>
            </a:effectLst>
          </c:spPr>
          <c:marker>
            <c:symbol val="none"/>
          </c:marker>
          <c:xVal>
            <c:numRef>
              <c:f>'Final PI'!$F$3:$F$5</c:f>
              <c:numCache>
                <c:formatCode>General</c:formatCode>
                <c:ptCount val="3"/>
                <c:pt idx="0">
                  <c:v>2018</c:v>
                </c:pt>
                <c:pt idx="1">
                  <c:v>2019</c:v>
                </c:pt>
                <c:pt idx="2">
                  <c:v>2020</c:v>
                </c:pt>
              </c:numCache>
            </c:numRef>
          </c:xVal>
          <c:yVal>
            <c:numRef>
              <c:f>'Final PI'!$G$3:$G$5</c:f>
              <c:numCache>
                <c:formatCode>"$"#,##0.00_);[Red]\("$"#,##0.00\)</c:formatCode>
                <c:ptCount val="3"/>
                <c:pt idx="0">
                  <c:v>871.16</c:v>
                </c:pt>
                <c:pt idx="1">
                  <c:v>785.65</c:v>
                </c:pt>
                <c:pt idx="2">
                  <c:v>742.69</c:v>
                </c:pt>
              </c:numCache>
            </c:numRef>
          </c:yVal>
          <c:smooth val="1"/>
          <c:extLst>
            <c:ext xmlns:c16="http://schemas.microsoft.com/office/drawing/2014/chart" uri="{C3380CC4-5D6E-409C-BE32-E72D297353CC}">
              <c16:uniqueId val="{00000000-E4FF-4C1E-A9FC-67C8F3673296}"/>
            </c:ext>
          </c:extLst>
        </c:ser>
        <c:ser>
          <c:idx val="1"/>
          <c:order val="1"/>
          <c:tx>
            <c:strRef>
              <c:f>'Final PI'!$H$2</c:f>
              <c:strCache>
                <c:ptCount val="1"/>
                <c:pt idx="0">
                  <c:v>5.0 Lower</c:v>
                </c:pt>
              </c:strCache>
            </c:strRef>
          </c:tx>
          <c:spPr>
            <a:ln w="22225" cap="rnd">
              <a:solidFill>
                <a:srgbClr val="FF0000"/>
              </a:solidFill>
            </a:ln>
            <a:effectLst>
              <a:glow rad="139700">
                <a:schemeClr val="accent2">
                  <a:satMod val="175000"/>
                  <a:alpha val="14000"/>
                </a:schemeClr>
              </a:glow>
            </a:effectLst>
          </c:spPr>
          <c:marker>
            <c:symbol val="none"/>
          </c:marker>
          <c:xVal>
            <c:numRef>
              <c:f>'Final PI'!$F$3:$F$5</c:f>
              <c:numCache>
                <c:formatCode>General</c:formatCode>
                <c:ptCount val="3"/>
                <c:pt idx="0">
                  <c:v>2018</c:v>
                </c:pt>
                <c:pt idx="1">
                  <c:v>2019</c:v>
                </c:pt>
                <c:pt idx="2">
                  <c:v>2020</c:v>
                </c:pt>
              </c:numCache>
            </c:numRef>
          </c:xVal>
          <c:yVal>
            <c:numRef>
              <c:f>'Final PI'!$H$3:$H$5</c:f>
              <c:numCache>
                <c:formatCode>"$"#,##0.00_);[Red]\("$"#,##0.00\)</c:formatCode>
                <c:ptCount val="3"/>
                <c:pt idx="0">
                  <c:v>923.03</c:v>
                </c:pt>
                <c:pt idx="1">
                  <c:v>850.75</c:v>
                </c:pt>
                <c:pt idx="2">
                  <c:v>814.32</c:v>
                </c:pt>
              </c:numCache>
            </c:numRef>
          </c:yVal>
          <c:smooth val="1"/>
          <c:extLst>
            <c:ext xmlns:c16="http://schemas.microsoft.com/office/drawing/2014/chart" uri="{C3380CC4-5D6E-409C-BE32-E72D297353CC}">
              <c16:uniqueId val="{00000001-E4FF-4C1E-A9FC-67C8F3673296}"/>
            </c:ext>
          </c:extLst>
        </c:ser>
        <c:ser>
          <c:idx val="2"/>
          <c:order val="2"/>
          <c:tx>
            <c:strRef>
              <c:f>'Final PI'!$I$2</c:f>
              <c:strCache>
                <c:ptCount val="1"/>
                <c:pt idx="0">
                  <c:v>10.0 Lower</c:v>
                </c:pt>
              </c:strCache>
            </c:strRef>
          </c:tx>
          <c:spPr>
            <a:ln w="22225" cap="rnd">
              <a:solidFill>
                <a:srgbClr val="FFC000"/>
              </a:solidFill>
            </a:ln>
            <a:effectLst>
              <a:glow rad="139700">
                <a:schemeClr val="accent3">
                  <a:satMod val="175000"/>
                  <a:alpha val="14000"/>
                </a:schemeClr>
              </a:glow>
            </a:effectLst>
          </c:spPr>
          <c:marker>
            <c:symbol val="none"/>
          </c:marker>
          <c:xVal>
            <c:numRef>
              <c:f>'Final PI'!$F$3:$F$5</c:f>
              <c:numCache>
                <c:formatCode>General</c:formatCode>
                <c:ptCount val="3"/>
                <c:pt idx="0">
                  <c:v>2018</c:v>
                </c:pt>
                <c:pt idx="1">
                  <c:v>2019</c:v>
                </c:pt>
                <c:pt idx="2">
                  <c:v>2020</c:v>
                </c:pt>
              </c:numCache>
            </c:numRef>
          </c:xVal>
          <c:yVal>
            <c:numRef>
              <c:f>'Final PI'!$I$3:$I$5</c:f>
              <c:numCache>
                <c:formatCode>"$"#,##0.00_);[Red]\("$"#,##0.00\)</c:formatCode>
                <c:ptCount val="3"/>
                <c:pt idx="0">
                  <c:v>982.84</c:v>
                </c:pt>
                <c:pt idx="1">
                  <c:v>925.82</c:v>
                </c:pt>
                <c:pt idx="2">
                  <c:v>896.89</c:v>
                </c:pt>
              </c:numCache>
            </c:numRef>
          </c:yVal>
          <c:smooth val="1"/>
          <c:extLst>
            <c:ext xmlns:c16="http://schemas.microsoft.com/office/drawing/2014/chart" uri="{C3380CC4-5D6E-409C-BE32-E72D297353CC}">
              <c16:uniqueId val="{00000002-E4FF-4C1E-A9FC-67C8F3673296}"/>
            </c:ext>
          </c:extLst>
        </c:ser>
        <c:ser>
          <c:idx val="3"/>
          <c:order val="3"/>
          <c:tx>
            <c:strRef>
              <c:f>'Final PI'!$J$2</c:f>
              <c:strCache>
                <c:ptCount val="1"/>
                <c:pt idx="0">
                  <c:v>20.0 Lower</c:v>
                </c:pt>
              </c:strCache>
            </c:strRef>
          </c:tx>
          <c:spPr>
            <a:ln w="22225" cap="rnd">
              <a:solidFill>
                <a:srgbClr val="FFFF00"/>
              </a:solidFill>
            </a:ln>
            <a:effectLst>
              <a:glow rad="139700">
                <a:schemeClr val="accent4">
                  <a:satMod val="175000"/>
                  <a:alpha val="14000"/>
                </a:schemeClr>
              </a:glow>
            </a:effectLst>
          </c:spPr>
          <c:marker>
            <c:symbol val="none"/>
          </c:marker>
          <c:xVal>
            <c:numRef>
              <c:f>'Final PI'!$F$3:$F$5</c:f>
              <c:numCache>
                <c:formatCode>General</c:formatCode>
                <c:ptCount val="3"/>
                <c:pt idx="0">
                  <c:v>2018</c:v>
                </c:pt>
                <c:pt idx="1">
                  <c:v>2019</c:v>
                </c:pt>
                <c:pt idx="2">
                  <c:v>2020</c:v>
                </c:pt>
              </c:numCache>
            </c:numRef>
          </c:xVal>
          <c:yVal>
            <c:numRef>
              <c:f>'Final PI'!$J$3:$J$5</c:f>
              <c:numCache>
                <c:formatCode>"$"#,##0.00_);[Red]\("$"#,##0.00\)</c:formatCode>
                <c:ptCount val="3"/>
                <c:pt idx="0">
                  <c:v>1055.25</c:v>
                </c:pt>
                <c:pt idx="1">
                  <c:v>1016.71</c:v>
                </c:pt>
                <c:pt idx="2">
                  <c:v>996.89</c:v>
                </c:pt>
              </c:numCache>
            </c:numRef>
          </c:yVal>
          <c:smooth val="1"/>
          <c:extLst>
            <c:ext xmlns:c16="http://schemas.microsoft.com/office/drawing/2014/chart" uri="{C3380CC4-5D6E-409C-BE32-E72D297353CC}">
              <c16:uniqueId val="{00000003-E4FF-4C1E-A9FC-67C8F3673296}"/>
            </c:ext>
          </c:extLst>
        </c:ser>
        <c:ser>
          <c:idx val="4"/>
          <c:order val="4"/>
          <c:tx>
            <c:strRef>
              <c:f>'Final PI'!$K$2</c:f>
              <c:strCache>
                <c:ptCount val="1"/>
                <c:pt idx="0">
                  <c:v>Forecast</c:v>
                </c:pt>
              </c:strCache>
            </c:strRef>
          </c:tx>
          <c:spPr>
            <a:ln w="22225" cap="rnd">
              <a:solidFill>
                <a:schemeClr val="bg1"/>
              </a:solidFill>
            </a:ln>
            <a:effectLst>
              <a:glow rad="139700">
                <a:schemeClr val="accent5">
                  <a:satMod val="175000"/>
                  <a:alpha val="14000"/>
                </a:schemeClr>
              </a:glow>
            </a:effectLst>
          </c:spPr>
          <c:marker>
            <c:symbol val="none"/>
          </c:marker>
          <c:xVal>
            <c:numRef>
              <c:f>'Final PI'!$F$3:$F$5</c:f>
              <c:numCache>
                <c:formatCode>General</c:formatCode>
                <c:ptCount val="3"/>
                <c:pt idx="0">
                  <c:v>2018</c:v>
                </c:pt>
                <c:pt idx="1">
                  <c:v>2019</c:v>
                </c:pt>
                <c:pt idx="2">
                  <c:v>2020</c:v>
                </c:pt>
              </c:numCache>
            </c:numRef>
          </c:xVal>
          <c:yVal>
            <c:numRef>
              <c:f>'Final PI'!$K$3:$K$5</c:f>
              <c:numCache>
                <c:formatCode>"$"#,##0.00_);[Red]\("$"#,##0.00\)</c:formatCode>
                <c:ptCount val="3"/>
                <c:pt idx="0">
                  <c:v>1176.5966666666666</c:v>
                </c:pt>
                <c:pt idx="1">
                  <c:v>1165.2</c:v>
                </c:pt>
                <c:pt idx="2">
                  <c:v>1158.3933333333334</c:v>
                </c:pt>
              </c:numCache>
            </c:numRef>
          </c:yVal>
          <c:smooth val="1"/>
          <c:extLst>
            <c:ext xmlns:c16="http://schemas.microsoft.com/office/drawing/2014/chart" uri="{C3380CC4-5D6E-409C-BE32-E72D297353CC}">
              <c16:uniqueId val="{00000004-E4FF-4C1E-A9FC-67C8F3673296}"/>
            </c:ext>
          </c:extLst>
        </c:ser>
        <c:ser>
          <c:idx val="5"/>
          <c:order val="5"/>
          <c:tx>
            <c:strRef>
              <c:f>'Final PI'!$L$2</c:f>
              <c:strCache>
                <c:ptCount val="1"/>
                <c:pt idx="0">
                  <c:v>80.0 Upper</c:v>
                </c:pt>
              </c:strCache>
            </c:strRef>
          </c:tx>
          <c:spPr>
            <a:ln w="22225" cap="rnd">
              <a:solidFill>
                <a:schemeClr val="accent6"/>
              </a:solidFill>
            </a:ln>
            <a:effectLst>
              <a:glow rad="139700">
                <a:schemeClr val="accent6">
                  <a:satMod val="175000"/>
                  <a:alpha val="14000"/>
                </a:schemeClr>
              </a:glow>
            </a:effectLst>
          </c:spPr>
          <c:marker>
            <c:symbol val="none"/>
          </c:marker>
          <c:xVal>
            <c:numRef>
              <c:f>'Final PI'!$F$3:$F$5</c:f>
              <c:numCache>
                <c:formatCode>General</c:formatCode>
                <c:ptCount val="3"/>
                <c:pt idx="0">
                  <c:v>2018</c:v>
                </c:pt>
                <c:pt idx="1">
                  <c:v>2019</c:v>
                </c:pt>
                <c:pt idx="2">
                  <c:v>2020</c:v>
                </c:pt>
              </c:numCache>
            </c:numRef>
          </c:xVal>
          <c:yVal>
            <c:numRef>
              <c:f>'Final PI'!$L$3:$L$5</c:f>
              <c:numCache>
                <c:formatCode>"$"#,##0.00_);[Red]\("$"#,##0.00\)</c:formatCode>
                <c:ptCount val="3"/>
                <c:pt idx="0">
                  <c:v>1332.33</c:v>
                </c:pt>
                <c:pt idx="1">
                  <c:v>1364.49</c:v>
                </c:pt>
                <c:pt idx="2">
                  <c:v>1379.47</c:v>
                </c:pt>
              </c:numCache>
            </c:numRef>
          </c:yVal>
          <c:smooth val="1"/>
          <c:extLst>
            <c:ext xmlns:c16="http://schemas.microsoft.com/office/drawing/2014/chart" uri="{C3380CC4-5D6E-409C-BE32-E72D297353CC}">
              <c16:uniqueId val="{00000005-E4FF-4C1E-A9FC-67C8F3673296}"/>
            </c:ext>
          </c:extLst>
        </c:ser>
        <c:ser>
          <c:idx val="6"/>
          <c:order val="6"/>
          <c:tx>
            <c:strRef>
              <c:f>'Final PI'!$M$2</c:f>
              <c:strCache>
                <c:ptCount val="1"/>
                <c:pt idx="0">
                  <c:v>90.0 Upper</c:v>
                </c:pt>
              </c:strCache>
            </c:strRef>
          </c:tx>
          <c:spPr>
            <a:ln w="22225" cap="rnd">
              <a:solidFill>
                <a:srgbClr val="00B050"/>
              </a:solidFill>
            </a:ln>
            <a:effectLst>
              <a:glow rad="139700">
                <a:schemeClr val="accent1">
                  <a:lumMod val="60000"/>
                  <a:satMod val="175000"/>
                  <a:alpha val="14000"/>
                </a:schemeClr>
              </a:glow>
            </a:effectLst>
          </c:spPr>
          <c:marker>
            <c:symbol val="none"/>
          </c:marker>
          <c:xVal>
            <c:numRef>
              <c:f>'Final PI'!$F$3:$F$5</c:f>
              <c:numCache>
                <c:formatCode>General</c:formatCode>
                <c:ptCount val="3"/>
                <c:pt idx="0">
                  <c:v>2018</c:v>
                </c:pt>
                <c:pt idx="1">
                  <c:v>2019</c:v>
                </c:pt>
                <c:pt idx="2">
                  <c:v>2020</c:v>
                </c:pt>
              </c:numCache>
            </c:numRef>
          </c:xVal>
          <c:yVal>
            <c:numRef>
              <c:f>'Final PI'!$M$3:$M$5</c:f>
              <c:numCache>
                <c:formatCode>"$"#,##0.00_);[Red]\("$"#,##0.00\)</c:formatCode>
                <c:ptCount val="3"/>
                <c:pt idx="0">
                  <c:v>1404.75</c:v>
                </c:pt>
                <c:pt idx="1">
                  <c:v>1455.39</c:v>
                </c:pt>
                <c:pt idx="2">
                  <c:v>1479.47</c:v>
                </c:pt>
              </c:numCache>
            </c:numRef>
          </c:yVal>
          <c:smooth val="1"/>
          <c:extLst>
            <c:ext xmlns:c16="http://schemas.microsoft.com/office/drawing/2014/chart" uri="{C3380CC4-5D6E-409C-BE32-E72D297353CC}">
              <c16:uniqueId val="{00000006-E4FF-4C1E-A9FC-67C8F3673296}"/>
            </c:ext>
          </c:extLst>
        </c:ser>
        <c:ser>
          <c:idx val="7"/>
          <c:order val="7"/>
          <c:tx>
            <c:strRef>
              <c:f>'Final PI'!$N$2</c:f>
              <c:strCache>
                <c:ptCount val="1"/>
                <c:pt idx="0">
                  <c:v>95.0 Upper</c:v>
                </c:pt>
              </c:strCache>
            </c:strRef>
          </c:tx>
          <c:spPr>
            <a:ln w="22225" cap="rnd">
              <a:solidFill>
                <a:srgbClr val="00B0F0"/>
              </a:solidFill>
            </a:ln>
            <a:effectLst>
              <a:glow rad="139700">
                <a:schemeClr val="accent2">
                  <a:lumMod val="60000"/>
                  <a:satMod val="175000"/>
                  <a:alpha val="14000"/>
                </a:schemeClr>
              </a:glow>
            </a:effectLst>
          </c:spPr>
          <c:marker>
            <c:symbol val="none"/>
          </c:marker>
          <c:xVal>
            <c:numRef>
              <c:f>'Final PI'!$F$3:$F$5</c:f>
              <c:numCache>
                <c:formatCode>General</c:formatCode>
                <c:ptCount val="3"/>
                <c:pt idx="0">
                  <c:v>2018</c:v>
                </c:pt>
                <c:pt idx="1">
                  <c:v>2019</c:v>
                </c:pt>
                <c:pt idx="2">
                  <c:v>2020</c:v>
                </c:pt>
              </c:numCache>
            </c:numRef>
          </c:xVal>
          <c:yVal>
            <c:numRef>
              <c:f>'Final PI'!$N$3:$N$5</c:f>
              <c:numCache>
                <c:formatCode>"$"#,##0.00_);[Red]\("$"#,##0.00\)</c:formatCode>
                <c:ptCount val="3"/>
                <c:pt idx="0">
                  <c:v>1464.55</c:v>
                </c:pt>
                <c:pt idx="1">
                  <c:v>1530.45</c:v>
                </c:pt>
                <c:pt idx="2">
                  <c:v>1562.04</c:v>
                </c:pt>
              </c:numCache>
            </c:numRef>
          </c:yVal>
          <c:smooth val="1"/>
          <c:extLst>
            <c:ext xmlns:c16="http://schemas.microsoft.com/office/drawing/2014/chart" uri="{C3380CC4-5D6E-409C-BE32-E72D297353CC}">
              <c16:uniqueId val="{00000007-E4FF-4C1E-A9FC-67C8F3673296}"/>
            </c:ext>
          </c:extLst>
        </c:ser>
        <c:ser>
          <c:idx val="8"/>
          <c:order val="8"/>
          <c:tx>
            <c:strRef>
              <c:f>'Final PI'!$O$2</c:f>
              <c:strCache>
                <c:ptCount val="1"/>
                <c:pt idx="0">
                  <c:v>97.5 Upper</c:v>
                </c:pt>
              </c:strCache>
            </c:strRef>
          </c:tx>
          <c:spPr>
            <a:ln w="22225" cap="rnd">
              <a:solidFill>
                <a:srgbClr val="0070C0"/>
              </a:solidFill>
            </a:ln>
            <a:effectLst>
              <a:glow rad="139700">
                <a:schemeClr val="accent3">
                  <a:lumMod val="60000"/>
                  <a:satMod val="175000"/>
                  <a:alpha val="14000"/>
                </a:schemeClr>
              </a:glow>
            </a:effectLst>
          </c:spPr>
          <c:marker>
            <c:symbol val="none"/>
          </c:marker>
          <c:xVal>
            <c:numRef>
              <c:f>'Final PI'!$F$3:$F$5</c:f>
              <c:numCache>
                <c:formatCode>General</c:formatCode>
                <c:ptCount val="3"/>
                <c:pt idx="0">
                  <c:v>2018</c:v>
                </c:pt>
                <c:pt idx="1">
                  <c:v>2019</c:v>
                </c:pt>
                <c:pt idx="2">
                  <c:v>2020</c:v>
                </c:pt>
              </c:numCache>
            </c:numRef>
          </c:xVal>
          <c:yVal>
            <c:numRef>
              <c:f>'Final PI'!$O$3:$O$5</c:f>
              <c:numCache>
                <c:formatCode>"$"#,##0.00_);[Red]\("$"#,##0.00\)</c:formatCode>
                <c:ptCount val="3"/>
                <c:pt idx="0">
                  <c:v>1516.42</c:v>
                </c:pt>
                <c:pt idx="1">
                  <c:v>1595.56</c:v>
                </c:pt>
                <c:pt idx="2">
                  <c:v>1633.67</c:v>
                </c:pt>
              </c:numCache>
            </c:numRef>
          </c:yVal>
          <c:smooth val="1"/>
          <c:extLst>
            <c:ext xmlns:c16="http://schemas.microsoft.com/office/drawing/2014/chart" uri="{C3380CC4-5D6E-409C-BE32-E72D297353CC}">
              <c16:uniqueId val="{00000008-E4FF-4C1E-A9FC-67C8F3673296}"/>
            </c:ext>
          </c:extLst>
        </c:ser>
        <c:dLbls>
          <c:showLegendKey val="0"/>
          <c:showVal val="0"/>
          <c:showCatName val="0"/>
          <c:showSerName val="0"/>
          <c:showPercent val="0"/>
          <c:showBubbleSize val="0"/>
        </c:dLbls>
        <c:axId val="606059144"/>
        <c:axId val="477254256"/>
      </c:scatterChart>
      <c:valAx>
        <c:axId val="606059144"/>
        <c:scaling>
          <c:orientation val="minMax"/>
          <c:max val="2020"/>
          <c:min val="2018"/>
        </c:scaling>
        <c:delete val="0"/>
        <c:axPos val="b"/>
        <c:majorGridlines>
          <c:spPr>
            <a:ln w="9525" cap="flat" cmpd="sng" algn="ctr">
              <a:solidFill>
                <a:schemeClr val="dk1">
                  <a:lumMod val="65000"/>
                  <a:lumOff val="35000"/>
                  <a:alpha val="7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77254256"/>
        <c:crosses val="autoZero"/>
        <c:crossBetween val="midCat"/>
        <c:majorUnit val="1"/>
      </c:valAx>
      <c:valAx>
        <c:axId val="477254256"/>
        <c:scaling>
          <c:orientation val="minMax"/>
        </c:scaling>
        <c:delete val="0"/>
        <c:axPos val="l"/>
        <c:majorGridlines>
          <c:spPr>
            <a:ln w="9525" cap="flat" cmpd="sng" algn="ctr">
              <a:solidFill>
                <a:schemeClr val="dk1">
                  <a:lumMod val="65000"/>
                  <a:lumOff val="35000"/>
                  <a:alpha val="75000"/>
                </a:schemeClr>
              </a:solidFill>
              <a:round/>
            </a:ln>
            <a:effectLst/>
          </c:spPr>
        </c:majorGridlines>
        <c:numFmt formatCode="&quot;$&quot;#,##0.00_);[Red]\(&quot;$&quot;#,##0.00\)"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606059144"/>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'Final PI'!$G$7</c:f>
              <c:strCache>
                <c:ptCount val="1"/>
                <c:pt idx="0">
                  <c:v>2.5 Lower</c:v>
                </c:pt>
              </c:strCache>
            </c:strRef>
          </c:tx>
          <c:spPr>
            <a:ln w="22225" cap="rnd">
              <a:solidFill>
                <a:srgbClr val="C00000"/>
              </a:solidFill>
            </a:ln>
            <a:effectLst>
              <a:glow rad="139700">
                <a:schemeClr val="accent1">
                  <a:satMod val="175000"/>
                  <a:alpha val="14000"/>
                </a:schemeClr>
              </a:glow>
            </a:effectLst>
          </c:spPr>
          <c:marker>
            <c:symbol val="none"/>
          </c:marker>
          <c:xVal>
            <c:numRef>
              <c:f>'Final PI'!$F$8:$F$10</c:f>
              <c:numCache>
                <c:formatCode>General</c:formatCode>
                <c:ptCount val="3"/>
                <c:pt idx="0">
                  <c:v>2018</c:v>
                </c:pt>
                <c:pt idx="1">
                  <c:v>2019</c:v>
                </c:pt>
                <c:pt idx="2">
                  <c:v>2020</c:v>
                </c:pt>
              </c:numCache>
            </c:numRef>
          </c:xVal>
          <c:yVal>
            <c:numRef>
              <c:f>'Final PI'!$G$8:$G$10</c:f>
              <c:numCache>
                <c:formatCode>"$"#,##0.00_);[Red]\("$"#,##0.00\)</c:formatCode>
                <c:ptCount val="3"/>
                <c:pt idx="0">
                  <c:v>893.81016</c:v>
                </c:pt>
                <c:pt idx="1">
                  <c:v>824.61666869999999</c:v>
                </c:pt>
                <c:pt idx="2">
                  <c:v>797.29913002053581</c:v>
                </c:pt>
              </c:numCache>
            </c:numRef>
          </c:yVal>
          <c:smooth val="1"/>
          <c:extLst>
            <c:ext xmlns:c16="http://schemas.microsoft.com/office/drawing/2014/chart" uri="{C3380CC4-5D6E-409C-BE32-E72D297353CC}">
              <c16:uniqueId val="{00000000-F2FB-49D1-B976-96D6865E4FBC}"/>
            </c:ext>
          </c:extLst>
        </c:ser>
        <c:ser>
          <c:idx val="1"/>
          <c:order val="1"/>
          <c:tx>
            <c:strRef>
              <c:f>'Final PI'!$H$7</c:f>
              <c:strCache>
                <c:ptCount val="1"/>
                <c:pt idx="0">
                  <c:v>5.0 Lower</c:v>
                </c:pt>
              </c:strCache>
            </c:strRef>
          </c:tx>
          <c:spPr>
            <a:ln w="22225" cap="rnd">
              <a:solidFill>
                <a:srgbClr val="FF0000"/>
              </a:solidFill>
            </a:ln>
            <a:effectLst>
              <a:glow rad="139700">
                <a:schemeClr val="accent2">
                  <a:satMod val="175000"/>
                  <a:alpha val="14000"/>
                </a:schemeClr>
              </a:glow>
            </a:effectLst>
          </c:spPr>
          <c:marker>
            <c:symbol val="none"/>
          </c:marker>
          <c:xVal>
            <c:numRef>
              <c:f>'Final PI'!$F$8:$F$10</c:f>
              <c:numCache>
                <c:formatCode>General</c:formatCode>
                <c:ptCount val="3"/>
                <c:pt idx="0">
                  <c:v>2018</c:v>
                </c:pt>
                <c:pt idx="1">
                  <c:v>2019</c:v>
                </c:pt>
                <c:pt idx="2">
                  <c:v>2020</c:v>
                </c:pt>
              </c:numCache>
            </c:numRef>
          </c:xVal>
          <c:yVal>
            <c:numRef>
              <c:f>'Final PI'!$H$8:$H$10</c:f>
              <c:numCache>
                <c:formatCode>"$"#,##0.00_);[Red]\("$"#,##0.00\)</c:formatCode>
                <c:ptCount val="3"/>
                <c:pt idx="0">
                  <c:v>947.02877999999998</c:v>
                </c:pt>
                <c:pt idx="1">
                  <c:v>892.94549849999999</c:v>
                </c:pt>
                <c:pt idx="2">
                  <c:v>874.19600042860793</c:v>
                </c:pt>
              </c:numCache>
            </c:numRef>
          </c:yVal>
          <c:smooth val="1"/>
          <c:extLst>
            <c:ext xmlns:c16="http://schemas.microsoft.com/office/drawing/2014/chart" uri="{C3380CC4-5D6E-409C-BE32-E72D297353CC}">
              <c16:uniqueId val="{00000001-F2FB-49D1-B976-96D6865E4FBC}"/>
            </c:ext>
          </c:extLst>
        </c:ser>
        <c:ser>
          <c:idx val="2"/>
          <c:order val="2"/>
          <c:tx>
            <c:strRef>
              <c:f>'Final PI'!$I$7</c:f>
              <c:strCache>
                <c:ptCount val="1"/>
                <c:pt idx="0">
                  <c:v>10.0 Lower</c:v>
                </c:pt>
              </c:strCache>
            </c:strRef>
          </c:tx>
          <c:spPr>
            <a:ln w="22225" cap="rnd">
              <a:solidFill>
                <a:srgbClr val="FFC000"/>
              </a:solidFill>
            </a:ln>
            <a:effectLst>
              <a:glow rad="139700">
                <a:schemeClr val="accent3">
                  <a:satMod val="175000"/>
                  <a:alpha val="14000"/>
                </a:schemeClr>
              </a:glow>
            </a:effectLst>
          </c:spPr>
          <c:marker>
            <c:symbol val="none"/>
          </c:marker>
          <c:xVal>
            <c:numRef>
              <c:f>'Final PI'!$F$8:$F$10</c:f>
              <c:numCache>
                <c:formatCode>General</c:formatCode>
                <c:ptCount val="3"/>
                <c:pt idx="0">
                  <c:v>2018</c:v>
                </c:pt>
                <c:pt idx="1">
                  <c:v>2019</c:v>
                </c:pt>
                <c:pt idx="2">
                  <c:v>2020</c:v>
                </c:pt>
              </c:numCache>
            </c:numRef>
          </c:xVal>
          <c:yVal>
            <c:numRef>
              <c:f>'Final PI'!$I$8:$I$10</c:f>
              <c:numCache>
                <c:formatCode>"$"#,##0.00_);[Red]\("$"#,##0.00\)</c:formatCode>
                <c:ptCount val="3"/>
                <c:pt idx="0">
                  <c:v>1008.3938400000001</c:v>
                </c:pt>
                <c:pt idx="1">
                  <c:v>971.73882035999998</c:v>
                </c:pt>
                <c:pt idx="2">
                  <c:v>962.83727628501595</c:v>
                </c:pt>
              </c:numCache>
            </c:numRef>
          </c:yVal>
          <c:smooth val="1"/>
          <c:extLst>
            <c:ext xmlns:c16="http://schemas.microsoft.com/office/drawing/2014/chart" uri="{C3380CC4-5D6E-409C-BE32-E72D297353CC}">
              <c16:uniqueId val="{00000002-F2FB-49D1-B976-96D6865E4FBC}"/>
            </c:ext>
          </c:extLst>
        </c:ser>
        <c:ser>
          <c:idx val="3"/>
          <c:order val="3"/>
          <c:tx>
            <c:strRef>
              <c:f>'Final PI'!$J$7</c:f>
              <c:strCache>
                <c:ptCount val="1"/>
                <c:pt idx="0">
                  <c:v>20.0 Lower</c:v>
                </c:pt>
              </c:strCache>
            </c:strRef>
          </c:tx>
          <c:spPr>
            <a:ln w="22225" cap="rnd">
              <a:solidFill>
                <a:srgbClr val="FFFF00"/>
              </a:solidFill>
            </a:ln>
            <a:effectLst>
              <a:glow rad="139700">
                <a:schemeClr val="accent4">
                  <a:satMod val="175000"/>
                  <a:alpha val="14000"/>
                </a:schemeClr>
              </a:glow>
            </a:effectLst>
          </c:spPr>
          <c:marker>
            <c:symbol val="none"/>
          </c:marker>
          <c:xVal>
            <c:numRef>
              <c:f>'Final PI'!$F$8:$F$10</c:f>
              <c:numCache>
                <c:formatCode>General</c:formatCode>
                <c:ptCount val="3"/>
                <c:pt idx="0">
                  <c:v>2018</c:v>
                </c:pt>
                <c:pt idx="1">
                  <c:v>2019</c:v>
                </c:pt>
                <c:pt idx="2">
                  <c:v>2020</c:v>
                </c:pt>
              </c:numCache>
            </c:numRef>
          </c:xVal>
          <c:yVal>
            <c:numRef>
              <c:f>'Final PI'!$J$8:$J$10</c:f>
              <c:numCache>
                <c:formatCode>"$"#,##0.00_);[Red]\("$"#,##0.00\)</c:formatCode>
                <c:ptCount val="3"/>
                <c:pt idx="0">
                  <c:v>1082.6865</c:v>
                </c:pt>
                <c:pt idx="1">
                  <c:v>1067.1367825799998</c:v>
                </c:pt>
                <c:pt idx="2">
                  <c:v>1070.190159725016</c:v>
                </c:pt>
              </c:numCache>
            </c:numRef>
          </c:yVal>
          <c:smooth val="1"/>
          <c:extLst>
            <c:ext xmlns:c16="http://schemas.microsoft.com/office/drawing/2014/chart" uri="{C3380CC4-5D6E-409C-BE32-E72D297353CC}">
              <c16:uniqueId val="{00000003-F2FB-49D1-B976-96D6865E4FBC}"/>
            </c:ext>
          </c:extLst>
        </c:ser>
        <c:ser>
          <c:idx val="4"/>
          <c:order val="4"/>
          <c:tx>
            <c:strRef>
              <c:f>'Final PI'!$K$7</c:f>
              <c:strCache>
                <c:ptCount val="1"/>
                <c:pt idx="0">
                  <c:v>Forecast</c:v>
                </c:pt>
              </c:strCache>
            </c:strRef>
          </c:tx>
          <c:spPr>
            <a:ln w="22225" cap="rnd">
              <a:solidFill>
                <a:schemeClr val="bg1"/>
              </a:solidFill>
            </a:ln>
            <a:effectLst>
              <a:glow rad="139700">
                <a:schemeClr val="accent5">
                  <a:satMod val="175000"/>
                  <a:alpha val="14000"/>
                </a:schemeClr>
              </a:glow>
            </a:effectLst>
          </c:spPr>
          <c:marker>
            <c:symbol val="none"/>
          </c:marker>
          <c:xVal>
            <c:numRef>
              <c:f>'Final PI'!$F$8:$F$10</c:f>
              <c:numCache>
                <c:formatCode>General</c:formatCode>
                <c:ptCount val="3"/>
                <c:pt idx="0">
                  <c:v>2018</c:v>
                </c:pt>
                <c:pt idx="1">
                  <c:v>2019</c:v>
                </c:pt>
                <c:pt idx="2">
                  <c:v>2020</c:v>
                </c:pt>
              </c:numCache>
            </c:numRef>
          </c:xVal>
          <c:yVal>
            <c:numRef>
              <c:f>'Final PI'!$K$8:$K$10</c:f>
              <c:numCache>
                <c:formatCode>"$"#,##0.00_);[Red]\("$"#,##0.00\)</c:formatCode>
                <c:ptCount val="3"/>
                <c:pt idx="0">
                  <c:v>1207.1881799999999</c:v>
                </c:pt>
                <c:pt idx="1">
                  <c:v>1222.9915896</c:v>
                </c:pt>
                <c:pt idx="2">
                  <c:v>1243.568644910064</c:v>
                </c:pt>
              </c:numCache>
            </c:numRef>
          </c:yVal>
          <c:smooth val="1"/>
          <c:extLst>
            <c:ext xmlns:c16="http://schemas.microsoft.com/office/drawing/2014/chart" uri="{C3380CC4-5D6E-409C-BE32-E72D297353CC}">
              <c16:uniqueId val="{00000004-F2FB-49D1-B976-96D6865E4FBC}"/>
            </c:ext>
          </c:extLst>
        </c:ser>
        <c:ser>
          <c:idx val="5"/>
          <c:order val="5"/>
          <c:tx>
            <c:strRef>
              <c:f>'Final PI'!$L$7</c:f>
              <c:strCache>
                <c:ptCount val="1"/>
                <c:pt idx="0">
                  <c:v>80.0 Upper</c:v>
                </c:pt>
              </c:strCache>
            </c:strRef>
          </c:tx>
          <c:spPr>
            <a:ln w="22225" cap="rnd">
              <a:solidFill>
                <a:srgbClr val="92D050"/>
              </a:solidFill>
            </a:ln>
            <a:effectLst>
              <a:glow rad="139700">
                <a:schemeClr val="accent6">
                  <a:satMod val="175000"/>
                  <a:alpha val="14000"/>
                </a:schemeClr>
              </a:glow>
            </a:effectLst>
          </c:spPr>
          <c:marker>
            <c:symbol val="none"/>
          </c:marker>
          <c:xVal>
            <c:numRef>
              <c:f>'Final PI'!$F$8:$F$10</c:f>
              <c:numCache>
                <c:formatCode>General</c:formatCode>
                <c:ptCount val="3"/>
                <c:pt idx="0">
                  <c:v>2018</c:v>
                </c:pt>
                <c:pt idx="1">
                  <c:v>2019</c:v>
                </c:pt>
                <c:pt idx="2">
                  <c:v>2020</c:v>
                </c:pt>
              </c:numCache>
            </c:numRef>
          </c:xVal>
          <c:yVal>
            <c:numRef>
              <c:f>'Final PI'!$L$8:$L$10</c:f>
              <c:numCache>
                <c:formatCode>"$"#,##0.00_);[Red]\("$"#,##0.00\)</c:formatCode>
                <c:ptCount val="3"/>
                <c:pt idx="0">
                  <c:v>1366.9705799999999</c:v>
                </c:pt>
                <c:pt idx="1">
                  <c:v>1432.1659750199999</c:v>
                </c:pt>
                <c:pt idx="2">
                  <c:v>1480.9008211897678</c:v>
                </c:pt>
              </c:numCache>
            </c:numRef>
          </c:yVal>
          <c:smooth val="1"/>
          <c:extLst>
            <c:ext xmlns:c16="http://schemas.microsoft.com/office/drawing/2014/chart" uri="{C3380CC4-5D6E-409C-BE32-E72D297353CC}">
              <c16:uniqueId val="{00000005-F2FB-49D1-B976-96D6865E4FBC}"/>
            </c:ext>
          </c:extLst>
        </c:ser>
        <c:ser>
          <c:idx val="6"/>
          <c:order val="6"/>
          <c:tx>
            <c:strRef>
              <c:f>'Final PI'!$M$7</c:f>
              <c:strCache>
                <c:ptCount val="1"/>
                <c:pt idx="0">
                  <c:v>90.0 Upper</c:v>
                </c:pt>
              </c:strCache>
            </c:strRef>
          </c:tx>
          <c:spPr>
            <a:ln w="22225" cap="rnd">
              <a:solidFill>
                <a:srgbClr val="00B050"/>
              </a:solidFill>
            </a:ln>
            <a:effectLst>
              <a:glow rad="139700">
                <a:schemeClr val="accent1">
                  <a:lumMod val="60000"/>
                  <a:satMod val="175000"/>
                  <a:alpha val="14000"/>
                </a:schemeClr>
              </a:glow>
            </a:effectLst>
          </c:spPr>
          <c:marker>
            <c:symbol val="none"/>
          </c:marker>
          <c:xVal>
            <c:numRef>
              <c:f>'Final PI'!$F$8:$F$10</c:f>
              <c:numCache>
                <c:formatCode>General</c:formatCode>
                <c:ptCount val="3"/>
                <c:pt idx="0">
                  <c:v>2018</c:v>
                </c:pt>
                <c:pt idx="1">
                  <c:v>2019</c:v>
                </c:pt>
                <c:pt idx="2">
                  <c:v>2020</c:v>
                </c:pt>
              </c:numCache>
            </c:numRef>
          </c:xVal>
          <c:yVal>
            <c:numRef>
              <c:f>'Final PI'!$M$8:$M$10</c:f>
              <c:numCache>
                <c:formatCode>"$"#,##0.00_);[Red]\("$"#,##0.00\)</c:formatCode>
                <c:ptCount val="3"/>
                <c:pt idx="0">
                  <c:v>1441.2735</c:v>
                </c:pt>
                <c:pt idx="1">
                  <c:v>1527.5744332199999</c:v>
                </c:pt>
                <c:pt idx="2">
                  <c:v>1588.2537046297678</c:v>
                </c:pt>
              </c:numCache>
            </c:numRef>
          </c:yVal>
          <c:smooth val="1"/>
          <c:extLst>
            <c:ext xmlns:c16="http://schemas.microsoft.com/office/drawing/2014/chart" uri="{C3380CC4-5D6E-409C-BE32-E72D297353CC}">
              <c16:uniqueId val="{00000006-F2FB-49D1-B976-96D6865E4FBC}"/>
            </c:ext>
          </c:extLst>
        </c:ser>
        <c:ser>
          <c:idx val="7"/>
          <c:order val="7"/>
          <c:tx>
            <c:strRef>
              <c:f>'Final PI'!$N$7</c:f>
              <c:strCache>
                <c:ptCount val="1"/>
                <c:pt idx="0">
                  <c:v>95.0 Upper</c:v>
                </c:pt>
              </c:strCache>
            </c:strRef>
          </c:tx>
          <c:spPr>
            <a:ln w="22225" cap="rnd">
              <a:solidFill>
                <a:srgbClr val="00B0F0"/>
              </a:solidFill>
            </a:ln>
            <a:effectLst>
              <a:glow rad="139700">
                <a:schemeClr val="accent2">
                  <a:lumMod val="60000"/>
                  <a:satMod val="175000"/>
                  <a:alpha val="14000"/>
                </a:schemeClr>
              </a:glow>
            </a:effectLst>
          </c:spPr>
          <c:marker>
            <c:symbol val="none"/>
          </c:marker>
          <c:xVal>
            <c:numRef>
              <c:f>'Final PI'!$F$8:$F$10</c:f>
              <c:numCache>
                <c:formatCode>General</c:formatCode>
                <c:ptCount val="3"/>
                <c:pt idx="0">
                  <c:v>2018</c:v>
                </c:pt>
                <c:pt idx="1">
                  <c:v>2019</c:v>
                </c:pt>
                <c:pt idx="2">
                  <c:v>2020</c:v>
                </c:pt>
              </c:numCache>
            </c:numRef>
          </c:xVal>
          <c:yVal>
            <c:numRef>
              <c:f>'Final PI'!$N$8:$N$10</c:f>
              <c:numCache>
                <c:formatCode>"$"#,##0.00_);[Red]\("$"#,##0.00\)</c:formatCode>
                <c:ptCount val="3"/>
                <c:pt idx="0">
                  <c:v>1502.6283000000001</c:v>
                </c:pt>
                <c:pt idx="1">
                  <c:v>1606.3572591</c:v>
                </c:pt>
                <c:pt idx="2">
                  <c:v>1676.8949804861757</c:v>
                </c:pt>
              </c:numCache>
            </c:numRef>
          </c:yVal>
          <c:smooth val="1"/>
          <c:extLst>
            <c:ext xmlns:c16="http://schemas.microsoft.com/office/drawing/2014/chart" uri="{C3380CC4-5D6E-409C-BE32-E72D297353CC}">
              <c16:uniqueId val="{00000007-F2FB-49D1-B976-96D6865E4FBC}"/>
            </c:ext>
          </c:extLst>
        </c:ser>
        <c:ser>
          <c:idx val="8"/>
          <c:order val="8"/>
          <c:tx>
            <c:strRef>
              <c:f>'Final PI'!$O$7</c:f>
              <c:strCache>
                <c:ptCount val="1"/>
                <c:pt idx="0">
                  <c:v>97.5 Upper</c:v>
                </c:pt>
              </c:strCache>
            </c:strRef>
          </c:tx>
          <c:spPr>
            <a:ln w="22225" cap="rnd">
              <a:solidFill>
                <a:srgbClr val="0070C0"/>
              </a:solidFill>
            </a:ln>
            <a:effectLst>
              <a:glow rad="139700">
                <a:schemeClr val="accent3">
                  <a:lumMod val="60000"/>
                  <a:satMod val="175000"/>
                  <a:alpha val="14000"/>
                </a:schemeClr>
              </a:glow>
            </a:effectLst>
          </c:spPr>
          <c:marker>
            <c:symbol val="none"/>
          </c:marker>
          <c:xVal>
            <c:numRef>
              <c:f>'Final PI'!$F$8:$F$10</c:f>
              <c:numCache>
                <c:formatCode>General</c:formatCode>
                <c:ptCount val="3"/>
                <c:pt idx="0">
                  <c:v>2018</c:v>
                </c:pt>
                <c:pt idx="1">
                  <c:v>2019</c:v>
                </c:pt>
                <c:pt idx="2">
                  <c:v>2020</c:v>
                </c:pt>
              </c:numCache>
            </c:numRef>
          </c:xVal>
          <c:yVal>
            <c:numRef>
              <c:f>'Final PI'!$O$8:$O$10</c:f>
              <c:numCache>
                <c:formatCode>"$"#,##0.00_);[Red]\("$"#,##0.00\)</c:formatCode>
                <c:ptCount val="3"/>
                <c:pt idx="0">
                  <c:v>1555.8469200000002</c:v>
                </c:pt>
                <c:pt idx="1">
                  <c:v>1674.6965848799998</c:v>
                </c:pt>
                <c:pt idx="2">
                  <c:v>1753.7918508942478</c:v>
                </c:pt>
              </c:numCache>
            </c:numRef>
          </c:yVal>
          <c:smooth val="1"/>
          <c:extLst>
            <c:ext xmlns:c16="http://schemas.microsoft.com/office/drawing/2014/chart" uri="{C3380CC4-5D6E-409C-BE32-E72D297353CC}">
              <c16:uniqueId val="{00000008-F2FB-49D1-B976-96D6865E4FBC}"/>
            </c:ext>
          </c:extLst>
        </c:ser>
        <c:dLbls>
          <c:showLegendKey val="0"/>
          <c:showVal val="0"/>
          <c:showCatName val="0"/>
          <c:showSerName val="0"/>
          <c:showPercent val="0"/>
          <c:showBubbleSize val="0"/>
        </c:dLbls>
        <c:axId val="545168696"/>
        <c:axId val="545171320"/>
      </c:scatterChart>
      <c:valAx>
        <c:axId val="545168696"/>
        <c:scaling>
          <c:orientation val="minMax"/>
          <c:max val="2020"/>
          <c:min val="2018"/>
        </c:scaling>
        <c:delete val="0"/>
        <c:axPos val="b"/>
        <c:majorGridlines>
          <c:spPr>
            <a:ln w="9525" cap="flat" cmpd="sng" algn="ctr">
              <a:solidFill>
                <a:schemeClr val="dk1">
                  <a:lumMod val="65000"/>
                  <a:lumOff val="35000"/>
                  <a:alpha val="7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45171320"/>
        <c:crosses val="autoZero"/>
        <c:crossBetween val="midCat"/>
        <c:majorUnit val="1"/>
      </c:valAx>
      <c:valAx>
        <c:axId val="545171320"/>
        <c:scaling>
          <c:orientation val="minMax"/>
        </c:scaling>
        <c:delete val="0"/>
        <c:axPos val="l"/>
        <c:majorGridlines>
          <c:spPr>
            <a:ln w="9525" cap="flat" cmpd="sng" algn="ctr">
              <a:solidFill>
                <a:schemeClr val="dk1">
                  <a:lumMod val="65000"/>
                  <a:lumOff val="35000"/>
                  <a:alpha val="75000"/>
                </a:schemeClr>
              </a:solidFill>
              <a:round/>
            </a:ln>
            <a:effectLst/>
          </c:spPr>
        </c:majorGridlines>
        <c:numFmt formatCode="&quot;$&quot;#,##0.00_);[Red]\(&quot;$&quot;#,##0.00\)"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545168696"/>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5">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3"/>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dk1">
            <a:lumMod val="65000"/>
            <a:lumOff val="35000"/>
            <a:alpha val="75000"/>
          </a:schemeClr>
        </a:solidFill>
        <a:round/>
      </a:ln>
    </cs:spPr>
  </cs:gridlineMajor>
  <cs:gridlineMinor>
    <cs:lnRef idx="0"/>
    <cs:fillRef idx="0"/>
    <cs:effectRef idx="0"/>
    <cs:fontRef idx="minor">
      <a:schemeClr val="tx1"/>
    </cs:fontRef>
    <cs:spPr>
      <a:ln w="9525" cap="flat" cmpd="sng" algn="ctr">
        <a:solidFill>
          <a:schemeClr val="dk1">
            <a:lumMod val="65000"/>
            <a:lumOff val="35000"/>
            <a:alpha val="25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spPr>
      <a:ln w="9525" cap="flat" cmpd="sng" algn="ctr">
        <a:solidFill>
          <a:schemeClr val="lt1">
            <a:lumMod val="50000"/>
          </a:schemeClr>
        </a:solidFill>
        <a:round/>
      </a:ln>
    </cs:spPr>
    <cs:defRPr sz="900" kern="1200"/>
    <cs:bodyPr/>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55"/>
    <w:rsid w:val="00684155"/>
    <w:rsid w:val="00D3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D5401864E84A4EA404BCC54745FBB0">
    <w:name w:val="79D5401864E84A4EA404BCC54745FBB0"/>
    <w:rsid w:val="00684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B842D-A0B4-4BD6-9F02-15574C6C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11</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Froymovich</dc:creator>
  <cp:keywords/>
  <dc:description/>
  <cp:lastModifiedBy>Gabriel Froymovich</cp:lastModifiedBy>
  <cp:revision>46</cp:revision>
  <dcterms:created xsi:type="dcterms:W3CDTF">2018-07-30T17:22:00Z</dcterms:created>
  <dcterms:modified xsi:type="dcterms:W3CDTF">2018-08-01T17:17:00Z</dcterms:modified>
</cp:coreProperties>
</file>